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92" w:rsidRDefault="00AD712C">
      <w:pPr>
        <w:ind w:left="792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                            </w:t>
      </w:r>
      <w:r w:rsidR="004F132F">
        <w:rPr>
          <w:sz w:val="24"/>
          <w:szCs w:val="24"/>
          <w:lang w:val="ro-RO"/>
        </w:rPr>
        <w:t xml:space="preserve">                 </w:t>
      </w:r>
      <w:r>
        <w:rPr>
          <w:sz w:val="24"/>
          <w:szCs w:val="24"/>
          <w:lang w:val="ro-RO"/>
        </w:rPr>
        <w:t>Anexa nr. 1 la decizia</w:t>
      </w:r>
    </w:p>
    <w:p w:rsidR="00D51692" w:rsidRDefault="00AD712C">
      <w:pPr>
        <w:ind w:left="1080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Consiliului municipal Chişinău</w:t>
      </w:r>
    </w:p>
    <w:p w:rsidR="00D51692" w:rsidRDefault="00AD712C">
      <w:pPr>
        <w:ind w:left="1008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nr.____din ____________2020</w:t>
      </w:r>
    </w:p>
    <w:p w:rsidR="00FE5BDB" w:rsidRDefault="00FE5BDB">
      <w:pPr>
        <w:ind w:left="3600" w:firstLine="720"/>
        <w:rPr>
          <w:sz w:val="28"/>
          <w:szCs w:val="28"/>
          <w:lang w:val="ro-RO"/>
        </w:rPr>
      </w:pPr>
    </w:p>
    <w:p w:rsidR="00FE5BDB" w:rsidRDefault="00FE5BDB">
      <w:pPr>
        <w:ind w:left="3600" w:firstLine="720"/>
        <w:rPr>
          <w:sz w:val="28"/>
          <w:szCs w:val="28"/>
          <w:lang w:val="ro-RO"/>
        </w:rPr>
      </w:pPr>
    </w:p>
    <w:p w:rsidR="00FE5BDB" w:rsidRDefault="00FE5BDB">
      <w:pPr>
        <w:ind w:left="3600" w:firstLine="720"/>
        <w:rPr>
          <w:sz w:val="28"/>
          <w:szCs w:val="28"/>
          <w:lang w:val="ro-RO"/>
        </w:rPr>
      </w:pPr>
    </w:p>
    <w:p w:rsidR="00D51692" w:rsidRDefault="00AD712C">
      <w:pPr>
        <w:ind w:left="3600"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Taxele locale, cotele şi înlesnirile fiscale</w:t>
      </w:r>
    </w:p>
    <w:p w:rsidR="00D51692" w:rsidRDefault="00AD712C">
      <w:pPr>
        <w:rPr>
          <w:sz w:val="24"/>
          <w:szCs w:val="24"/>
          <w:lang w:val="ro-RO"/>
        </w:rPr>
      </w:pP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ce se pun în aplicare în anul 2021 pe teritoriul municipiului Chişinău </w:t>
      </w:r>
      <w:r>
        <w:rPr>
          <w:sz w:val="28"/>
          <w:szCs w:val="28"/>
          <w:lang w:val="ro-RO"/>
        </w:rPr>
        <w:tab/>
      </w:r>
      <w:r>
        <w:rPr>
          <w:sz w:val="24"/>
          <w:szCs w:val="24"/>
          <w:lang w:val="ro-RO"/>
        </w:rPr>
        <w:tab/>
      </w:r>
    </w:p>
    <w:p w:rsidR="00D51692" w:rsidRDefault="00AD712C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p w:rsidR="00D51692" w:rsidRDefault="00AD712C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7"/>
        <w:gridCol w:w="2382"/>
        <w:gridCol w:w="3079"/>
        <w:gridCol w:w="2373"/>
        <w:gridCol w:w="6521"/>
      </w:tblGrid>
      <w:tr w:rsidR="00D51692">
        <w:trPr>
          <w:trHeight w:val="6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D51692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</w:t>
            </w: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amenajarea teritoriului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 w:eastAsia="ro-RO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Numărul mediu scriptic trimestrial al salariaţilor şi,  suplimentar: </w:t>
            </w:r>
          </w:p>
          <w:p w:rsidR="00D51692" w:rsidRDefault="00AD712C">
            <w:pPr>
              <w:rPr>
                <w:sz w:val="24"/>
                <w:szCs w:val="24"/>
                <w:lang w:val="ro-RO" w:eastAsia="ro-RO"/>
              </w:rPr>
            </w:pPr>
            <w:r>
              <w:rPr>
                <w:sz w:val="24"/>
                <w:szCs w:val="24"/>
                <w:lang w:val="ro-RO" w:eastAsia="ro-RO"/>
              </w:rPr>
              <w:t>– în cazul întreprinderilor individuale şi gospodăriilor ţărăneşti (de fermier) – fondatorul întreprinderii individuale, fondatorul şi membrii gospodăriilor ţărăneşti (de fermier);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>– în cazul persoanelor care desfăşoară activitate profesională în sectorul justiţiei – numărul de persoane abilitate prin lege pentru desfăşurarea activităţii profesionale în sectorul justiţiei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180 lei anual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salariat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sau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fondator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al </w:t>
            </w:r>
            <w:proofErr w:type="spellStart"/>
            <w:r>
              <w:rPr>
                <w:sz w:val="24"/>
                <w:szCs w:val="24"/>
                <w:lang w:val="en-US"/>
              </w:rPr>
              <w:t>întreprinderii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individuale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al </w:t>
            </w:r>
            <w:proofErr w:type="spellStart"/>
            <w:r>
              <w:rPr>
                <w:sz w:val="24"/>
                <w:szCs w:val="24"/>
                <w:lang w:val="en-US"/>
              </w:rPr>
              <w:t>gospodăriei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ţărăneşti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(de </w:t>
            </w:r>
            <w:proofErr w:type="spellStart"/>
            <w:r>
              <w:rPr>
                <w:sz w:val="24"/>
                <w:szCs w:val="24"/>
                <w:lang w:val="en-US"/>
              </w:rPr>
              <w:t>fermier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), de </w:t>
            </w:r>
            <w:proofErr w:type="spellStart"/>
            <w:r>
              <w:rPr>
                <w:sz w:val="24"/>
                <w:szCs w:val="24"/>
                <w:lang w:val="en-US"/>
              </w:rPr>
              <w:t>asemenea</w:t>
            </w:r>
            <w:proofErr w:type="spellEnd"/>
            <w:r w:rsidR="00FE5BDB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membrii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acesteia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sau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persoană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desfăşoară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profesională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sectorul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justiţiei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Persoanele fizice (invalizi, pensionari) şi persoanele juridice, numărul de invalizi şi pensionari al cărora depăşeşte nivelul de 50 la sută din numărul scriptic total.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Fondatorii gospodăriilor  ţărăneşti (de fermier) care au atins vârsta de pensionare.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Banca Naţională a Moldovei.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6. Proprietarii sau deţinătorii bunurilor rechiziţionate în interes public, pe perioada rechiziţiei, conform legislaţiei. </w:t>
            </w:r>
          </w:p>
          <w:p w:rsidR="00FE5BDB" w:rsidRDefault="00AD712C" w:rsidP="00FE5BDB">
            <w:pPr>
              <w:jc w:val="both"/>
              <w:rPr>
                <w:sz w:val="24"/>
                <w:szCs w:val="24"/>
                <w:lang w:val="en-US"/>
              </w:rPr>
            </w:pPr>
            <w:r w:rsidRPr="00FE5BDB">
              <w:rPr>
                <w:sz w:val="24"/>
                <w:szCs w:val="24"/>
                <w:lang w:val="ro-RO"/>
              </w:rPr>
              <w:t>7.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Persoanele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fizice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desfăşoară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activităţi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independente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cadrul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create conform art. 12 din </w:t>
            </w:r>
            <w:proofErr w:type="spellStart"/>
            <w:r>
              <w:rPr>
                <w:sz w:val="24"/>
                <w:szCs w:val="24"/>
                <w:lang w:val="en-US"/>
              </w:rPr>
              <w:t>Legea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nr. 231/2010</w:t>
            </w:r>
            <w:r w:rsidR="00FE5BDB">
              <w:rPr>
                <w:sz w:val="24"/>
                <w:szCs w:val="24"/>
                <w:lang w:val="en-US"/>
              </w:rPr>
              <w:t xml:space="preserve"> </w:t>
            </w:r>
          </w:p>
          <w:p w:rsidR="00D51692" w:rsidRDefault="00FE5BDB" w:rsidP="00FE5BDB">
            <w:pPr>
              <w:jc w:val="both"/>
              <w:rPr>
                <w:sz w:val="24"/>
                <w:szCs w:val="24"/>
                <w:lang w:val="en-US"/>
              </w:rPr>
            </w:pPr>
            <w:r w:rsidRPr="00FE5BDB">
              <w:rPr>
                <w:sz w:val="24"/>
                <w:szCs w:val="24"/>
                <w:lang w:val="en-US"/>
              </w:rPr>
              <w:t>„</w:t>
            </w:r>
            <w:r>
              <w:rPr>
                <w:sz w:val="24"/>
                <w:szCs w:val="24"/>
                <w:lang w:val="en-US"/>
              </w:rPr>
              <w:t>C</w:t>
            </w:r>
            <w:r w:rsidR="00AD712C">
              <w:rPr>
                <w:sz w:val="24"/>
                <w:szCs w:val="24"/>
                <w:lang w:val="en-US"/>
              </w:rPr>
              <w:t xml:space="preserve">u </w:t>
            </w:r>
            <w:proofErr w:type="spellStart"/>
            <w:r w:rsidR="00AD712C">
              <w:rPr>
                <w:sz w:val="24"/>
                <w:szCs w:val="24"/>
                <w:lang w:val="en-US"/>
              </w:rPr>
              <w:t>privire</w:t>
            </w:r>
            <w:proofErr w:type="spellEnd"/>
            <w:r w:rsidR="00AD712C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AD712C">
              <w:rPr>
                <w:sz w:val="24"/>
                <w:szCs w:val="24"/>
                <w:lang w:val="en-US"/>
              </w:rPr>
              <w:t>comerţul</w:t>
            </w:r>
            <w:proofErr w:type="spellEnd"/>
            <w:r w:rsidR="00AD712C">
              <w:rPr>
                <w:sz w:val="24"/>
                <w:szCs w:val="24"/>
                <w:lang w:val="en-US"/>
              </w:rPr>
              <w:t xml:space="preserve"> interior</w:t>
            </w:r>
            <w:r w:rsidRPr="00FE5BDB">
              <w:rPr>
                <w:sz w:val="24"/>
                <w:szCs w:val="24"/>
                <w:lang w:val="en-US"/>
              </w:rPr>
              <w:t>”</w:t>
            </w:r>
            <w:r w:rsidR="00AD712C">
              <w:rPr>
                <w:sz w:val="24"/>
                <w:szCs w:val="24"/>
                <w:lang w:val="en-US"/>
              </w:rPr>
              <w:t>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8. 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D51692">
        <w:trPr>
          <w:trHeight w:val="70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D51692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</w:pPr>
            <w:r>
              <w:rPr>
                <w:sz w:val="24"/>
                <w:szCs w:val="24"/>
                <w:lang w:val="ro-RO"/>
              </w:rPr>
              <w:t xml:space="preserve">Taxă de organizare a licitaţiilor şi loteriilor pe teritoriul municipiului Chişinău 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bunurilor declarate la licitaţie sau valoarea biletelor de loterie emise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0,3 %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Organizatorii licitaţiilor desfăşurate în scopul asigurării rambursării datoriilor la credite, acoperirii pagubelor, achitării datoriilor la buget, vânzării patrimoniului de stat şi patrimoniului municipal.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Banca Naţională a Moldovei.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6.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D51692">
        <w:trPr>
          <w:trHeight w:val="33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Taxă de plasare (amplasare) a publicităţii (reclamei) 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Venitul din vânzări ale serviciilor de plasare şi/sau difuzare a anunţurilor publicitare prin intermediul serviciilor cinematografice, video,  prin reţelele telefonice, telegrafice, telex, prin mijloacele de transport, prin alte mijloace ( cu excepţia TV, internetului, radioului, presei periodice, tipăriturilor) cu excepţia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amplasării publicității exterioare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5%</w:t>
            </w: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Producătorii şi difuzorii de publicitate socială şi de publicitate plasată pe trimiterile poştale.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D51692">
        <w:trPr>
          <w:trHeight w:val="33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D51692">
        <w:trPr>
          <w:trHeight w:val="269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aplicare a simbolicii locale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 produselor fabricate</w:t>
            </w:r>
            <w:r w:rsidR="00FE5BDB">
              <w:rPr>
                <w:sz w:val="24"/>
                <w:szCs w:val="24"/>
                <w:lang w:val="ro-RO"/>
              </w:rPr>
              <w:t>,</w:t>
            </w:r>
            <w:r>
              <w:rPr>
                <w:sz w:val="24"/>
                <w:szCs w:val="24"/>
                <w:lang w:val="ro-RO"/>
              </w:rPr>
              <w:t xml:space="preserve"> cărora li se aplică simbolica locală 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0,25 %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D51692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piaţă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2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2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2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sz w:val="22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Suprafaţa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terenului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en-US"/>
              </w:rPr>
              <w:t>clădirilor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construcţiilor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en-US"/>
              </w:rPr>
              <w:t>căror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strămutare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imposibilă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fără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cauzarea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prejudicii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destinaţiei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- 48 de lei anual pentru fiecare metru pătrat pentru pieţele alimentare, agricole, nealimentare şi mixte; </w:t>
            </w:r>
          </w:p>
          <w:p w:rsidR="00D51692" w:rsidRDefault="00AD71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- 14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</w:p>
          <w:p w:rsidR="00D51692" w:rsidRDefault="00AD712C">
            <w:pPr>
              <w:jc w:val="both"/>
            </w:pP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periferia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scurt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1-3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; </w:t>
            </w:r>
          </w:p>
          <w:p w:rsidR="00D51692" w:rsidRDefault="00AD712C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- 36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periferia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6-7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D51692">
        <w:trPr>
          <w:trHeight w:val="56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D51692">
        <w:trPr>
          <w:trHeight w:val="56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D51692" w:rsidRDefault="00AD712C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- 70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teritoriul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scurt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1-3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D51692" w:rsidRDefault="00AD712C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- 84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teritoriul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6-7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- 840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</w:t>
            </w:r>
          </w:p>
          <w:p w:rsidR="00D51692" w:rsidRDefault="00AD712C">
            <w:pPr>
              <w:jc w:val="both"/>
            </w:pPr>
            <w:proofErr w:type="spellStart"/>
            <w:r>
              <w:rPr>
                <w:sz w:val="24"/>
                <w:szCs w:val="24"/>
                <w:lang w:val="en-US"/>
              </w:rPr>
              <w:t>flori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perimetrul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parcurilor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cultură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odihnă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non-stop;  </w:t>
            </w:r>
          </w:p>
          <w:p w:rsidR="00D51692" w:rsidRDefault="00AD712C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- 70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celelalte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flori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non-stop; </w:t>
            </w:r>
          </w:p>
          <w:p w:rsidR="00FE5BDB" w:rsidRDefault="00AD712C" w:rsidP="00FE5BD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- 18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tip „second hand”.</w:t>
            </w:r>
          </w:p>
          <w:p w:rsidR="00FE5BDB" w:rsidRDefault="00FE5BDB" w:rsidP="00FE5BD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FE5BDB" w:rsidRDefault="00FE5BDB" w:rsidP="00FE5BD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D51692" w:rsidRDefault="00D5169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D51692">
        <w:trPr>
          <w:trHeight w:val="1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AD712C" w:rsidP="00FE5BDB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  <w:p w:rsidR="00FE5BDB" w:rsidRDefault="00FE5BDB" w:rsidP="00FE5BDB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D51692">
        <w:trPr>
          <w:trHeight w:val="340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</w:t>
            </w: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sz w:val="24"/>
                <w:szCs w:val="24"/>
                <w:lang w:val="ro-RO"/>
              </w:rPr>
            </w:pPr>
          </w:p>
          <w:p w:rsidR="00D51692" w:rsidRDefault="00D5169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cazare</w:t>
            </w:r>
          </w:p>
          <w:p w:rsidR="00D51692" w:rsidRDefault="00D51692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 serviciilor de cazare prestate de structurile cu funcţii de cazare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3 %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Proprietarii sau deţinătorii bunurilor rechiziţionate în interes public, pe perioada rechiziţiei, conform legislaţiei. </w:t>
            </w:r>
          </w:p>
          <w:p w:rsidR="00D51692" w:rsidRDefault="00AD712C" w:rsidP="00FE5BD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FE5BDB" w:rsidRDefault="00FE5BDB" w:rsidP="00FE5BDB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</w:tr>
      <w:tr w:rsidR="00D51692">
        <w:trPr>
          <w:trHeight w:val="33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parcare</w:t>
            </w:r>
          </w:p>
          <w:p w:rsidR="00D51692" w:rsidRDefault="00D51692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Suprafaţa parcării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 lei anual pentru fiecare metru pătrat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1. Persoanele cu afecţiuni ale aparatului locomotor care folosesc autoturisme cu dirijare manuală.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Autorităţile publice şi instituţiile finanţate de la bugetele de toate nivelurile.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Banca Naţională a Moldovei.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D51692" w:rsidRDefault="00AD712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6.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D51692">
        <w:trPr>
          <w:trHeight w:val="41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la posesorii de câini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AD712C" w:rsidP="00FE5BD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Numărul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aflaţi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posesiune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parcursul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unui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</w:t>
            </w:r>
            <w:bookmarkStart w:id="0" w:name="_GoBack"/>
            <w:bookmarkEnd w:id="0"/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92" w:rsidRDefault="00AD71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1. </w:t>
            </w:r>
            <w:proofErr w:type="spellStart"/>
            <w:r>
              <w:rPr>
                <w:sz w:val="24"/>
                <w:szCs w:val="24"/>
                <w:lang w:val="ro-RO"/>
              </w:rPr>
              <w:t>Nevăzatorii</w:t>
            </w:r>
            <w:proofErr w:type="spellEnd"/>
            <w:r>
              <w:rPr>
                <w:sz w:val="24"/>
                <w:szCs w:val="24"/>
                <w:lang w:val="ro-RO"/>
              </w:rPr>
              <w:t>, pensionarii singuri, cu condiția întreținerii unui singur câine.</w:t>
            </w:r>
          </w:p>
        </w:tc>
      </w:tr>
      <w:tr w:rsidR="00FE5BDB" w:rsidTr="00FE5BDB">
        <w:trPr>
          <w:trHeight w:val="55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 w:rsidP="00430C03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 w:rsidP="00430C03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 w:rsidP="00FE5BDB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 w:rsidP="00430C03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 w:rsidP="00430C03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E5BDB" w:rsidTr="00FE5BDB">
        <w:trPr>
          <w:trHeight w:val="33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9.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Taxă pentru dispozitivele publicitare 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Suprafaţa feţei (feţelor) dispozitivului publicitar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750 de lei anual pentru fiecare metru pătrat pentru dispozitivele publicitare 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1. Autorităţile publice şi instituţiile finanţate de la bugetele de toate nivelurile.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 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FE5BDB" w:rsidRDefault="00FE5BDB">
            <w:pPr>
              <w:ind w:left="-123" w:firstLine="141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3. Banca Naţională a Moldovei.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4. Proprietarii sau deţinătorii bunurilor rechiziţionate în interes public, pe perioada rechiziţiei, conform legislaţiei.</w:t>
            </w:r>
          </w:p>
          <w:p w:rsidR="00FE5BDB" w:rsidRDefault="00FE5BDB" w:rsidP="00FE5BD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FE5BDB" w:rsidRDefault="00FE5BDB" w:rsidP="00FE5BD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E5BDB">
        <w:trPr>
          <w:trHeight w:val="266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</w:rPr>
              <w:t>Taxă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salubrizare</w:t>
            </w:r>
            <w:proofErr w:type="spellEnd"/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</w:rPr>
              <w:t>Numărul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persoane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fizice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înscrise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adresa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declarată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domiciliu</w:t>
            </w:r>
            <w:proofErr w:type="spellEnd"/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</w:pPr>
            <w:r>
              <w:rPr>
                <w:sz w:val="24"/>
                <w:szCs w:val="24"/>
                <w:lang w:val="en-US"/>
              </w:rPr>
              <w:t>10 l</w:t>
            </w:r>
            <w:proofErr w:type="spellStart"/>
            <w:r>
              <w:rPr>
                <w:sz w:val="24"/>
                <w:szCs w:val="24"/>
              </w:rPr>
              <w:t>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lunar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fiecare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domiciliat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înscris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adresa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respectivă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DB" w:rsidRDefault="00FE5BDB">
            <w:pPr>
              <w:jc w:val="both"/>
            </w:pPr>
            <w:r>
              <w:rPr>
                <w:sz w:val="24"/>
                <w:szCs w:val="24"/>
                <w:lang w:val="ro-RO"/>
              </w:rPr>
              <w:t>1.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vârstă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pensionară</w:t>
            </w:r>
            <w:proofErr w:type="spellEnd"/>
            <w:r>
              <w:rPr>
                <w:sz w:val="24"/>
                <w:szCs w:val="24"/>
                <w:lang w:val="ro-RO"/>
              </w:rPr>
              <w:t>.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>2.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severe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accentuate</w:t>
            </w:r>
            <w:proofErr w:type="spellEnd"/>
            <w:proofErr w:type="gramEnd"/>
            <w:r>
              <w:rPr>
                <w:sz w:val="24"/>
                <w:szCs w:val="24"/>
                <w:lang w:val="ro-RO"/>
              </w:rPr>
              <w:t>.</w:t>
            </w:r>
          </w:p>
          <w:p w:rsidR="00FE5BDB" w:rsidRDefault="00FE5BDB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>3.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copilărie</w:t>
            </w:r>
            <w:proofErr w:type="spellEnd"/>
            <w:r>
              <w:rPr>
                <w:sz w:val="24"/>
                <w:szCs w:val="24"/>
                <w:lang w:val="ro-RO"/>
              </w:rPr>
              <w:t>.</w:t>
            </w:r>
          </w:p>
          <w:p w:rsidR="00FE5BDB" w:rsidRDefault="00FE5BDB">
            <w:pPr>
              <w:jc w:val="both"/>
            </w:pPr>
            <w:r>
              <w:rPr>
                <w:sz w:val="24"/>
                <w:szCs w:val="24"/>
                <w:lang w:val="en-US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acţiunile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luptă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apărarea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integrităţii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teritoriale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independenţei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Republicii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Moldova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acţiunile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luptă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Afganistan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lichidarea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consecinţelor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avariei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C.A.E. </w:t>
            </w:r>
            <w:proofErr w:type="spellStart"/>
            <w:r>
              <w:rPr>
                <w:sz w:val="24"/>
                <w:szCs w:val="24"/>
              </w:rPr>
              <w:t>Cernobîl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:rsidR="00FE5BDB" w:rsidRDefault="00FE5BDB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Copiii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vârsta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până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18 </w:t>
            </w:r>
            <w:proofErr w:type="spellStart"/>
            <w:r>
              <w:rPr>
                <w:sz w:val="24"/>
                <w:szCs w:val="24"/>
                <w:lang w:val="en-US"/>
              </w:rPr>
              <w:t>ani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D51692" w:rsidRDefault="00D51692">
      <w:pPr>
        <w:jc w:val="both"/>
        <w:rPr>
          <w:sz w:val="28"/>
          <w:szCs w:val="28"/>
          <w:lang w:val="ro-RO"/>
        </w:rPr>
      </w:pPr>
    </w:p>
    <w:p w:rsidR="00D51692" w:rsidRDefault="00D51692">
      <w:pPr>
        <w:jc w:val="both"/>
        <w:rPr>
          <w:sz w:val="28"/>
          <w:szCs w:val="28"/>
          <w:lang w:val="ro-RO"/>
        </w:rPr>
      </w:pPr>
    </w:p>
    <w:p w:rsidR="00D51692" w:rsidRDefault="00D51692">
      <w:pPr>
        <w:jc w:val="both"/>
        <w:rPr>
          <w:sz w:val="28"/>
          <w:szCs w:val="28"/>
          <w:lang w:val="ro-RO"/>
        </w:rPr>
      </w:pPr>
    </w:p>
    <w:p w:rsidR="00D51692" w:rsidRDefault="00D51692">
      <w:pPr>
        <w:jc w:val="both"/>
        <w:rPr>
          <w:sz w:val="28"/>
          <w:szCs w:val="28"/>
          <w:lang w:val="ro-RO"/>
        </w:rPr>
      </w:pPr>
    </w:p>
    <w:p w:rsidR="00D51692" w:rsidRDefault="00AD712C" w:rsidP="00FE5BDB">
      <w:pPr>
        <w:jc w:val="both"/>
      </w:pPr>
      <w:r>
        <w:rPr>
          <w:sz w:val="28"/>
          <w:szCs w:val="28"/>
          <w:lang w:val="ro-RO"/>
        </w:rPr>
        <w:t xml:space="preserve">SECRETAR INTERIMAR AL CONSILIULUI                            </w:t>
      </w:r>
      <w:r w:rsidR="00FE5BDB">
        <w:rPr>
          <w:sz w:val="28"/>
          <w:szCs w:val="28"/>
          <w:lang w:val="ro-RO"/>
        </w:rPr>
        <w:t xml:space="preserve">                                                  </w:t>
      </w:r>
      <w:r>
        <w:rPr>
          <w:sz w:val="28"/>
          <w:szCs w:val="28"/>
          <w:lang w:val="ro-RO"/>
        </w:rPr>
        <w:t xml:space="preserve">                    Adrian</w:t>
      </w:r>
      <w:r>
        <w:rPr>
          <w:sz w:val="28"/>
          <w:szCs w:val="28"/>
          <w:lang w:val="en-US"/>
        </w:rPr>
        <w:t xml:space="preserve"> TALMACI</w:t>
      </w:r>
    </w:p>
    <w:sectPr w:rsidR="00D51692" w:rsidSect="00D51692">
      <w:pgSz w:w="16838" w:h="11906" w:orient="landscape"/>
      <w:pgMar w:top="709" w:right="1105" w:bottom="1276" w:left="1134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hyphenationZone w:val="425"/>
  <w:characterSpacingControl w:val="doNotCompress"/>
  <w:compat/>
  <w:rsids>
    <w:rsidRoot w:val="00D51692"/>
    <w:rsid w:val="004F132F"/>
    <w:rsid w:val="00AD712C"/>
    <w:rsid w:val="00D51692"/>
    <w:rsid w:val="00EC04F7"/>
    <w:rsid w:val="00F95849"/>
    <w:rsid w:val="00FE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75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9"/>
    <w:qFormat/>
    <w:rsid w:val="006A0921"/>
    <w:pPr>
      <w:keepNext/>
      <w:outlineLvl w:val="0"/>
    </w:pPr>
    <w:rPr>
      <w:sz w:val="32"/>
      <w:lang w:val="en-US"/>
    </w:rPr>
  </w:style>
  <w:style w:type="paragraph" w:customStyle="1" w:styleId="Heading3">
    <w:name w:val="Heading 3"/>
    <w:basedOn w:val="a"/>
    <w:uiPriority w:val="99"/>
    <w:qFormat/>
    <w:rsid w:val="006A0921"/>
    <w:pPr>
      <w:keepNext/>
      <w:jc w:val="both"/>
      <w:outlineLvl w:val="2"/>
    </w:pPr>
    <w:rPr>
      <w:sz w:val="28"/>
      <w:lang w:val="ro-RO"/>
    </w:rPr>
  </w:style>
  <w:style w:type="character" w:customStyle="1" w:styleId="1">
    <w:name w:val="Заголовок 1 Знак"/>
    <w:basedOn w:val="a0"/>
    <w:link w:val="1"/>
    <w:uiPriority w:val="9"/>
    <w:qFormat/>
    <w:rsid w:val="006C6B63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Заголовок 3 Знак"/>
    <w:basedOn w:val="a0"/>
    <w:link w:val="3"/>
    <w:uiPriority w:val="9"/>
    <w:semiHidden/>
    <w:qFormat/>
    <w:rsid w:val="006C6B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Знак"/>
    <w:basedOn w:val="a0"/>
    <w:uiPriority w:val="99"/>
    <w:semiHidden/>
    <w:qFormat/>
    <w:rsid w:val="006C6B63"/>
    <w:rPr>
      <w:sz w:val="20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C6B63"/>
    <w:rPr>
      <w:sz w:val="0"/>
      <w:szCs w:val="0"/>
    </w:rPr>
  </w:style>
  <w:style w:type="character" w:customStyle="1" w:styleId="LegturInternet">
    <w:name w:val="Legătură Internet"/>
    <w:basedOn w:val="a0"/>
    <w:uiPriority w:val="99"/>
    <w:rsid w:val="005B25BC"/>
    <w:rPr>
      <w:rFonts w:cs="Times New Roman"/>
      <w:color w:val="0000FF"/>
      <w:u w:val="single"/>
    </w:rPr>
  </w:style>
  <w:style w:type="character" w:customStyle="1" w:styleId="ListLabel1">
    <w:name w:val="ListLabel 1"/>
    <w:qFormat/>
    <w:rsid w:val="00D51692"/>
    <w:rPr>
      <w:rFonts w:cs="Times New Roman"/>
    </w:rPr>
  </w:style>
  <w:style w:type="character" w:customStyle="1" w:styleId="ListLabel2">
    <w:name w:val="ListLabel 2"/>
    <w:qFormat/>
    <w:rsid w:val="00D51692"/>
    <w:rPr>
      <w:rFonts w:cs="Times New Roman"/>
    </w:rPr>
  </w:style>
  <w:style w:type="character" w:customStyle="1" w:styleId="ListLabel3">
    <w:name w:val="ListLabel 3"/>
    <w:qFormat/>
    <w:rsid w:val="00D51692"/>
    <w:rPr>
      <w:rFonts w:cs="Times New Roman"/>
    </w:rPr>
  </w:style>
  <w:style w:type="character" w:customStyle="1" w:styleId="ListLabel4">
    <w:name w:val="ListLabel 4"/>
    <w:qFormat/>
    <w:rsid w:val="00D51692"/>
    <w:rPr>
      <w:rFonts w:cs="Times New Roman"/>
    </w:rPr>
  </w:style>
  <w:style w:type="character" w:customStyle="1" w:styleId="ListLabel5">
    <w:name w:val="ListLabel 5"/>
    <w:qFormat/>
    <w:rsid w:val="00D51692"/>
    <w:rPr>
      <w:rFonts w:cs="Times New Roman"/>
    </w:rPr>
  </w:style>
  <w:style w:type="character" w:customStyle="1" w:styleId="ListLabel6">
    <w:name w:val="ListLabel 6"/>
    <w:qFormat/>
    <w:rsid w:val="00D51692"/>
    <w:rPr>
      <w:rFonts w:cs="Times New Roman"/>
    </w:rPr>
  </w:style>
  <w:style w:type="character" w:customStyle="1" w:styleId="ListLabel7">
    <w:name w:val="ListLabel 7"/>
    <w:qFormat/>
    <w:rsid w:val="00D51692"/>
    <w:rPr>
      <w:rFonts w:cs="Times New Roman"/>
    </w:rPr>
  </w:style>
  <w:style w:type="character" w:customStyle="1" w:styleId="ListLabel8">
    <w:name w:val="ListLabel 8"/>
    <w:qFormat/>
    <w:rsid w:val="00D51692"/>
    <w:rPr>
      <w:rFonts w:cs="Times New Roman"/>
    </w:rPr>
  </w:style>
  <w:style w:type="character" w:customStyle="1" w:styleId="ListLabel9">
    <w:name w:val="ListLabel 9"/>
    <w:qFormat/>
    <w:rsid w:val="00D51692"/>
    <w:rPr>
      <w:rFonts w:cs="Times New Roman"/>
    </w:rPr>
  </w:style>
  <w:style w:type="character" w:customStyle="1" w:styleId="ListLabel10">
    <w:name w:val="ListLabel 10"/>
    <w:qFormat/>
    <w:rsid w:val="00D51692"/>
    <w:rPr>
      <w:rFonts w:cs="Times New Roman"/>
    </w:rPr>
  </w:style>
  <w:style w:type="character" w:customStyle="1" w:styleId="ListLabel11">
    <w:name w:val="ListLabel 11"/>
    <w:qFormat/>
    <w:rsid w:val="00D51692"/>
    <w:rPr>
      <w:rFonts w:cs="Times New Roman"/>
    </w:rPr>
  </w:style>
  <w:style w:type="character" w:customStyle="1" w:styleId="ListLabel12">
    <w:name w:val="ListLabel 12"/>
    <w:qFormat/>
    <w:rsid w:val="00D51692"/>
    <w:rPr>
      <w:rFonts w:cs="Times New Roman"/>
    </w:rPr>
  </w:style>
  <w:style w:type="character" w:customStyle="1" w:styleId="ListLabel13">
    <w:name w:val="ListLabel 13"/>
    <w:qFormat/>
    <w:rsid w:val="00D51692"/>
    <w:rPr>
      <w:rFonts w:cs="Times New Roman"/>
    </w:rPr>
  </w:style>
  <w:style w:type="character" w:customStyle="1" w:styleId="ListLabel14">
    <w:name w:val="ListLabel 14"/>
    <w:qFormat/>
    <w:rsid w:val="00D51692"/>
    <w:rPr>
      <w:rFonts w:cs="Times New Roman"/>
    </w:rPr>
  </w:style>
  <w:style w:type="character" w:customStyle="1" w:styleId="ListLabel15">
    <w:name w:val="ListLabel 15"/>
    <w:qFormat/>
    <w:rsid w:val="00D51692"/>
    <w:rPr>
      <w:rFonts w:cs="Times New Roman"/>
    </w:rPr>
  </w:style>
  <w:style w:type="character" w:customStyle="1" w:styleId="ListLabel16">
    <w:name w:val="ListLabel 16"/>
    <w:qFormat/>
    <w:rsid w:val="00D51692"/>
    <w:rPr>
      <w:rFonts w:eastAsia="Times New Roman"/>
    </w:rPr>
  </w:style>
  <w:style w:type="character" w:customStyle="1" w:styleId="ListLabel17">
    <w:name w:val="ListLabel 17"/>
    <w:qFormat/>
    <w:rsid w:val="00D51692"/>
    <w:rPr>
      <w:rFonts w:cs="Times New Roman"/>
    </w:rPr>
  </w:style>
  <w:style w:type="character" w:customStyle="1" w:styleId="ListLabel18">
    <w:name w:val="ListLabel 18"/>
    <w:qFormat/>
    <w:rsid w:val="00D51692"/>
    <w:rPr>
      <w:rFonts w:cs="Times New Roman"/>
    </w:rPr>
  </w:style>
  <w:style w:type="character" w:customStyle="1" w:styleId="ListLabel19">
    <w:name w:val="ListLabel 19"/>
    <w:qFormat/>
    <w:rsid w:val="00D51692"/>
    <w:rPr>
      <w:rFonts w:cs="Times New Roman"/>
    </w:rPr>
  </w:style>
  <w:style w:type="character" w:customStyle="1" w:styleId="ListLabel20">
    <w:name w:val="ListLabel 20"/>
    <w:qFormat/>
    <w:rsid w:val="00D51692"/>
    <w:rPr>
      <w:rFonts w:cs="Times New Roman"/>
    </w:rPr>
  </w:style>
  <w:style w:type="character" w:customStyle="1" w:styleId="ListLabel21">
    <w:name w:val="ListLabel 21"/>
    <w:qFormat/>
    <w:rsid w:val="00D51692"/>
    <w:rPr>
      <w:rFonts w:cs="Times New Roman"/>
    </w:rPr>
  </w:style>
  <w:style w:type="character" w:customStyle="1" w:styleId="ListLabel22">
    <w:name w:val="ListLabel 22"/>
    <w:qFormat/>
    <w:rsid w:val="00D51692"/>
    <w:rPr>
      <w:rFonts w:cs="Times New Roman"/>
    </w:rPr>
  </w:style>
  <w:style w:type="character" w:customStyle="1" w:styleId="ListLabel23">
    <w:name w:val="ListLabel 23"/>
    <w:qFormat/>
    <w:rsid w:val="00D51692"/>
    <w:rPr>
      <w:rFonts w:cs="Times New Roman"/>
    </w:rPr>
  </w:style>
  <w:style w:type="character" w:customStyle="1" w:styleId="ListLabel24">
    <w:name w:val="ListLabel 24"/>
    <w:qFormat/>
    <w:rsid w:val="00D51692"/>
    <w:rPr>
      <w:rFonts w:cs="Times New Roman"/>
    </w:rPr>
  </w:style>
  <w:style w:type="character" w:customStyle="1" w:styleId="ListLabel25">
    <w:name w:val="ListLabel 25"/>
    <w:qFormat/>
    <w:rsid w:val="00D51692"/>
    <w:rPr>
      <w:rFonts w:cs="Times New Roman"/>
    </w:rPr>
  </w:style>
  <w:style w:type="character" w:customStyle="1" w:styleId="ListLabel26">
    <w:name w:val="ListLabel 26"/>
    <w:qFormat/>
    <w:rsid w:val="00D51692"/>
    <w:rPr>
      <w:rFonts w:cs="Times New Roman"/>
    </w:rPr>
  </w:style>
  <w:style w:type="character" w:customStyle="1" w:styleId="ListLabel27">
    <w:name w:val="ListLabel 27"/>
    <w:qFormat/>
    <w:rsid w:val="00D51692"/>
    <w:rPr>
      <w:rFonts w:cs="Times New Roman"/>
    </w:rPr>
  </w:style>
  <w:style w:type="character" w:customStyle="1" w:styleId="ListLabel28">
    <w:name w:val="ListLabel 28"/>
    <w:qFormat/>
    <w:rsid w:val="00D51692"/>
    <w:rPr>
      <w:rFonts w:cs="Times New Roman"/>
    </w:rPr>
  </w:style>
  <w:style w:type="character" w:customStyle="1" w:styleId="ListLabel29">
    <w:name w:val="ListLabel 29"/>
    <w:qFormat/>
    <w:rsid w:val="00D51692"/>
    <w:rPr>
      <w:rFonts w:cs="Times New Roman"/>
    </w:rPr>
  </w:style>
  <w:style w:type="character" w:customStyle="1" w:styleId="ListLabel30">
    <w:name w:val="ListLabel 30"/>
    <w:qFormat/>
    <w:rsid w:val="00D51692"/>
    <w:rPr>
      <w:rFonts w:cs="Times New Roman"/>
    </w:rPr>
  </w:style>
  <w:style w:type="character" w:customStyle="1" w:styleId="ListLabel31">
    <w:name w:val="ListLabel 31"/>
    <w:qFormat/>
    <w:rsid w:val="00D51692"/>
    <w:rPr>
      <w:rFonts w:cs="Times New Roman"/>
    </w:rPr>
  </w:style>
  <w:style w:type="character" w:customStyle="1" w:styleId="ListLabel32">
    <w:name w:val="ListLabel 32"/>
    <w:qFormat/>
    <w:rsid w:val="00D51692"/>
    <w:rPr>
      <w:rFonts w:cs="Times New Roman"/>
    </w:rPr>
  </w:style>
  <w:style w:type="character" w:customStyle="1" w:styleId="ListLabel33">
    <w:name w:val="ListLabel 33"/>
    <w:qFormat/>
    <w:rsid w:val="00D51692"/>
    <w:rPr>
      <w:rFonts w:cs="Times New Roman"/>
    </w:rPr>
  </w:style>
  <w:style w:type="character" w:customStyle="1" w:styleId="ListLabel34">
    <w:name w:val="ListLabel 34"/>
    <w:qFormat/>
    <w:rsid w:val="00D51692"/>
    <w:rPr>
      <w:rFonts w:cs="Times New Roman"/>
    </w:rPr>
  </w:style>
  <w:style w:type="character" w:customStyle="1" w:styleId="ListLabel35">
    <w:name w:val="ListLabel 35"/>
    <w:qFormat/>
    <w:rsid w:val="00D51692"/>
    <w:rPr>
      <w:rFonts w:eastAsia="Times New Roman"/>
    </w:rPr>
  </w:style>
  <w:style w:type="paragraph" w:customStyle="1" w:styleId="Stiltitlu">
    <w:name w:val="Stil titlu"/>
    <w:basedOn w:val="a"/>
    <w:next w:val="a5"/>
    <w:qFormat/>
    <w:rsid w:val="00D51692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5">
    <w:name w:val="Body Text"/>
    <w:basedOn w:val="a"/>
    <w:uiPriority w:val="99"/>
    <w:rsid w:val="00315475"/>
    <w:rPr>
      <w:sz w:val="28"/>
      <w:lang w:val="ro-RO"/>
    </w:rPr>
  </w:style>
  <w:style w:type="paragraph" w:styleId="a6">
    <w:name w:val="List"/>
    <w:basedOn w:val="a5"/>
    <w:rsid w:val="00D51692"/>
    <w:rPr>
      <w:rFonts w:cs="FreeSans"/>
    </w:rPr>
  </w:style>
  <w:style w:type="paragraph" w:customStyle="1" w:styleId="Caption">
    <w:name w:val="Caption"/>
    <w:basedOn w:val="a"/>
    <w:qFormat/>
    <w:rsid w:val="00D5169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D51692"/>
    <w:pPr>
      <w:suppressLineNumbers/>
    </w:pPr>
    <w:rPr>
      <w:rFonts w:cs="FreeSans"/>
    </w:rPr>
  </w:style>
  <w:style w:type="paragraph" w:styleId="a7">
    <w:name w:val="Balloon Text"/>
    <w:basedOn w:val="a"/>
    <w:uiPriority w:val="99"/>
    <w:semiHidden/>
    <w:qFormat/>
    <w:rsid w:val="0064162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qFormat/>
    <w:rsid w:val="00A376BF"/>
    <w:pPr>
      <w:ind w:firstLine="567"/>
      <w:jc w:val="both"/>
    </w:pPr>
    <w:rPr>
      <w:sz w:val="24"/>
      <w:szCs w:val="24"/>
    </w:rPr>
  </w:style>
  <w:style w:type="paragraph" w:customStyle="1" w:styleId="cb">
    <w:name w:val="cb"/>
    <w:basedOn w:val="a"/>
    <w:uiPriority w:val="99"/>
    <w:qFormat/>
    <w:rsid w:val="00A376BF"/>
    <w:pPr>
      <w:jc w:val="center"/>
    </w:pPr>
    <w:rPr>
      <w:b/>
      <w:bCs/>
      <w:sz w:val="24"/>
      <w:szCs w:val="24"/>
    </w:rPr>
  </w:style>
  <w:style w:type="paragraph" w:customStyle="1" w:styleId="lf">
    <w:name w:val="lf"/>
    <w:basedOn w:val="a"/>
    <w:uiPriority w:val="99"/>
    <w:qFormat/>
    <w:rsid w:val="0025722E"/>
    <w:rPr>
      <w:sz w:val="24"/>
      <w:szCs w:val="24"/>
      <w:lang w:val="ro-RO" w:eastAsia="ro-RO"/>
    </w:rPr>
  </w:style>
  <w:style w:type="table" w:styleId="a9">
    <w:name w:val="Table Grid"/>
    <w:basedOn w:val="a1"/>
    <w:uiPriority w:val="99"/>
    <w:rsid w:val="009F7A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660EB-F9D1-49DE-A45C-A3F4BBEC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1570</Words>
  <Characters>9112</Characters>
  <Application>Microsoft Office Word</Application>
  <DocSecurity>0</DocSecurity>
  <Lines>75</Lines>
  <Paragraphs>21</Paragraphs>
  <ScaleCrop>false</ScaleCrop>
  <Company>DERRP</Company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INFORMAŢIA</dc:title>
  <dc:creator>DERRP</dc:creator>
  <cp:lastModifiedBy>mandreeva</cp:lastModifiedBy>
  <cp:revision>4</cp:revision>
  <cp:lastPrinted>2019-12-30T11:40:00Z</cp:lastPrinted>
  <dcterms:created xsi:type="dcterms:W3CDTF">2020-11-11T12:40:00Z</dcterms:created>
  <dcterms:modified xsi:type="dcterms:W3CDTF">2020-11-13T07:07:00Z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DERRP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