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000" w:firstRow="0" w:lastRow="0" w:firstColumn="0" w:lastColumn="0" w:noHBand="0" w:noVBand="0"/>
      </w:tblPr>
      <w:tblGrid>
        <w:gridCol w:w="9498"/>
        <w:gridCol w:w="140"/>
      </w:tblGrid>
      <w:tr w:rsidR="009F2114" w:rsidRPr="00A6772E" w:rsidTr="004B73C6">
        <w:trPr>
          <w:jc w:val="center"/>
        </w:trPr>
        <w:tc>
          <w:tcPr>
            <w:tcW w:w="4856" w:type="pct"/>
            <w:vAlign w:val="center"/>
          </w:tcPr>
          <w:tbl>
            <w:tblPr>
              <w:tblpPr w:leftFromText="45" w:rightFromText="45" w:vertAnchor="text"/>
              <w:tblW w:w="9498" w:type="dxa"/>
              <w:tblCellMar>
                <w:top w:w="45" w:type="dxa"/>
                <w:left w:w="45" w:type="dxa"/>
                <w:bottom w:w="45" w:type="dxa"/>
                <w:right w:w="45" w:type="dxa"/>
              </w:tblCellMar>
              <w:tblLook w:val="0000" w:firstRow="0" w:lastRow="0" w:firstColumn="0" w:lastColumn="0" w:noHBand="0" w:noVBand="0"/>
            </w:tblPr>
            <w:tblGrid>
              <w:gridCol w:w="1755"/>
              <w:gridCol w:w="7743"/>
            </w:tblGrid>
            <w:tr w:rsidR="009F2114" w:rsidRPr="00A6772E" w:rsidTr="00D12DE1">
              <w:tc>
                <w:tcPr>
                  <w:tcW w:w="924" w:type="pct"/>
                </w:tcPr>
                <w:p w:rsidR="009F2114" w:rsidRPr="00A6772E" w:rsidRDefault="009F2114">
                  <w:pPr>
                    <w:rPr>
                      <w:rFonts w:ascii="Arial" w:hAnsi="Arial" w:cs="Arial"/>
                      <w:b/>
                      <w:bCs/>
                      <w:color w:val="000000"/>
                    </w:rPr>
                  </w:pPr>
                  <w:r w:rsidRPr="00A6772E">
                    <w:rPr>
                      <w:rFonts w:ascii="Arial" w:hAnsi="Arial" w:cs="Arial"/>
                      <w:b/>
                      <w:bCs/>
                      <w:color w:val="000000"/>
                    </w:rPr>
                    <w:t>Project name</w:t>
                  </w:r>
                </w:p>
              </w:tc>
              <w:tc>
                <w:tcPr>
                  <w:tcW w:w="4076" w:type="pct"/>
                </w:tcPr>
                <w:p w:rsidR="009F2114" w:rsidRPr="00A6772E" w:rsidRDefault="00A62C6B">
                  <w:pPr>
                    <w:rPr>
                      <w:rFonts w:ascii="Arial" w:hAnsi="Arial" w:cs="Arial"/>
                      <w:color w:val="000000"/>
                      <w:lang w:val="en-GB"/>
                    </w:rPr>
                  </w:pPr>
                  <w:r w:rsidRPr="00A6772E">
                    <w:rPr>
                      <w:rFonts w:ascii="Arial" w:hAnsi="Arial" w:cs="Arial"/>
                      <w:color w:val="000000"/>
                      <w:lang w:val="en-GB"/>
                    </w:rPr>
                    <w:t>GRCF CHISINAU BUILDINGS SUB-PROJECT</w:t>
                  </w:r>
                </w:p>
              </w:tc>
            </w:tr>
            <w:tr w:rsidR="009F2114" w:rsidRPr="00A6772E" w:rsidTr="00D12DE1">
              <w:tc>
                <w:tcPr>
                  <w:tcW w:w="924" w:type="pct"/>
                </w:tcPr>
                <w:p w:rsidR="009F2114" w:rsidRPr="00A6772E" w:rsidRDefault="009F2114">
                  <w:pPr>
                    <w:rPr>
                      <w:rFonts w:ascii="Arial" w:hAnsi="Arial" w:cs="Arial"/>
                      <w:b/>
                      <w:bCs/>
                      <w:color w:val="000000"/>
                    </w:rPr>
                  </w:pPr>
                  <w:r w:rsidRPr="00A6772E">
                    <w:rPr>
                      <w:rFonts w:ascii="Arial" w:hAnsi="Arial" w:cs="Arial"/>
                      <w:b/>
                      <w:bCs/>
                      <w:color w:val="000000"/>
                    </w:rPr>
                    <w:t>Country</w:t>
                  </w:r>
                </w:p>
              </w:tc>
              <w:tc>
                <w:tcPr>
                  <w:tcW w:w="4076" w:type="pct"/>
                </w:tcPr>
                <w:p w:rsidR="009F2114" w:rsidRPr="00A6772E" w:rsidRDefault="009F2114">
                  <w:pPr>
                    <w:rPr>
                      <w:rFonts w:ascii="Arial" w:hAnsi="Arial" w:cs="Arial"/>
                      <w:color w:val="000000"/>
                    </w:rPr>
                  </w:pPr>
                  <w:r w:rsidRPr="00A6772E">
                    <w:rPr>
                      <w:rFonts w:ascii="Arial" w:hAnsi="Arial" w:cs="Arial"/>
                      <w:color w:val="000000"/>
                    </w:rPr>
                    <w:t>Moldova</w:t>
                  </w:r>
                </w:p>
              </w:tc>
            </w:tr>
            <w:tr w:rsidR="009F2114" w:rsidRPr="00A6772E" w:rsidTr="00D12DE1">
              <w:tc>
                <w:tcPr>
                  <w:tcW w:w="924" w:type="pct"/>
                </w:tcPr>
                <w:p w:rsidR="009F2114" w:rsidRPr="00A6772E" w:rsidRDefault="009F2114">
                  <w:pPr>
                    <w:rPr>
                      <w:rFonts w:ascii="Arial" w:hAnsi="Arial" w:cs="Arial"/>
                      <w:b/>
                      <w:bCs/>
                      <w:color w:val="000000"/>
                    </w:rPr>
                  </w:pPr>
                  <w:r w:rsidRPr="00A6772E">
                    <w:rPr>
                      <w:rFonts w:ascii="Arial" w:hAnsi="Arial" w:cs="Arial"/>
                      <w:b/>
                      <w:bCs/>
                      <w:color w:val="000000"/>
                    </w:rPr>
                    <w:t>Business sector</w:t>
                  </w:r>
                </w:p>
              </w:tc>
              <w:tc>
                <w:tcPr>
                  <w:tcW w:w="4076" w:type="pct"/>
                </w:tcPr>
                <w:p w:rsidR="009F2114" w:rsidRPr="00A6772E" w:rsidRDefault="004F7AA1">
                  <w:pPr>
                    <w:rPr>
                      <w:rFonts w:ascii="Arial" w:hAnsi="Arial" w:cs="Arial"/>
                      <w:color w:val="000000"/>
                    </w:rPr>
                  </w:pPr>
                  <w:r w:rsidRPr="00A6772E">
                    <w:rPr>
                      <w:rFonts w:ascii="Arial" w:hAnsi="Arial" w:cs="Arial"/>
                      <w:color w:val="000000"/>
                    </w:rPr>
                    <w:t>Municipal and environmental infrastructure</w:t>
                  </w:r>
                </w:p>
              </w:tc>
            </w:tr>
            <w:tr w:rsidR="009F2114" w:rsidRPr="00A6772E" w:rsidTr="00D12DE1">
              <w:tc>
                <w:tcPr>
                  <w:tcW w:w="924" w:type="pct"/>
                </w:tcPr>
                <w:p w:rsidR="009F2114" w:rsidRPr="00A6772E" w:rsidRDefault="009F2114">
                  <w:pPr>
                    <w:rPr>
                      <w:rFonts w:ascii="Arial" w:hAnsi="Arial" w:cs="Arial"/>
                      <w:b/>
                      <w:bCs/>
                      <w:color w:val="000000"/>
                    </w:rPr>
                  </w:pPr>
                  <w:r w:rsidRPr="00A6772E">
                    <w:rPr>
                      <w:rFonts w:ascii="Arial" w:hAnsi="Arial" w:cs="Arial"/>
                      <w:b/>
                      <w:bCs/>
                      <w:color w:val="000000"/>
                    </w:rPr>
                    <w:t>Project ID</w:t>
                  </w:r>
                </w:p>
              </w:tc>
              <w:tc>
                <w:tcPr>
                  <w:tcW w:w="4076" w:type="pct"/>
                </w:tcPr>
                <w:p w:rsidR="009F2114" w:rsidRPr="00A6772E" w:rsidRDefault="004F7AA1">
                  <w:pPr>
                    <w:rPr>
                      <w:rFonts w:ascii="Arial" w:hAnsi="Arial" w:cs="Arial"/>
                      <w:color w:val="000000"/>
                    </w:rPr>
                  </w:pPr>
                  <w:r w:rsidRPr="00A6772E">
                    <w:rPr>
                      <w:rFonts w:ascii="Arial" w:hAnsi="Arial" w:cs="Arial"/>
                      <w:color w:val="000000"/>
                    </w:rPr>
                    <w:t>47899</w:t>
                  </w:r>
                </w:p>
              </w:tc>
            </w:tr>
            <w:tr w:rsidR="009F2114" w:rsidRPr="00A6772E" w:rsidTr="00D12DE1">
              <w:tc>
                <w:tcPr>
                  <w:tcW w:w="924" w:type="pct"/>
                </w:tcPr>
                <w:p w:rsidR="009F2114" w:rsidRPr="00A6772E" w:rsidRDefault="009F2114">
                  <w:pPr>
                    <w:rPr>
                      <w:rFonts w:ascii="Arial" w:hAnsi="Arial" w:cs="Arial"/>
                      <w:b/>
                      <w:bCs/>
                      <w:color w:val="000000"/>
                    </w:rPr>
                  </w:pPr>
                  <w:r w:rsidRPr="00A6772E">
                    <w:rPr>
                      <w:rFonts w:ascii="Arial" w:hAnsi="Arial" w:cs="Arial"/>
                      <w:b/>
                      <w:bCs/>
                      <w:color w:val="000000"/>
                    </w:rPr>
                    <w:t>Funding source</w:t>
                  </w:r>
                </w:p>
              </w:tc>
              <w:tc>
                <w:tcPr>
                  <w:tcW w:w="4076" w:type="pct"/>
                </w:tcPr>
                <w:p w:rsidR="009F2114" w:rsidRPr="00A6772E" w:rsidRDefault="009F2114">
                  <w:pPr>
                    <w:rPr>
                      <w:rFonts w:ascii="Arial" w:hAnsi="Arial" w:cs="Arial"/>
                      <w:color w:val="000000"/>
                    </w:rPr>
                  </w:pPr>
                  <w:r w:rsidRPr="00A6772E">
                    <w:rPr>
                      <w:rFonts w:ascii="Arial" w:hAnsi="Arial" w:cs="Arial"/>
                      <w:color w:val="000000"/>
                    </w:rPr>
                    <w:t>EBRD</w:t>
                  </w:r>
                  <w:r w:rsidR="00A62C6B" w:rsidRPr="00A6772E">
                    <w:rPr>
                      <w:rFonts w:ascii="Arial" w:hAnsi="Arial" w:cs="Arial"/>
                      <w:color w:val="000000"/>
                    </w:rPr>
                    <w:t>, EIB and E5P grant</w:t>
                  </w:r>
                  <w:r w:rsidRPr="00A6772E">
                    <w:rPr>
                      <w:rFonts w:ascii="Arial" w:hAnsi="Arial" w:cs="Arial"/>
                      <w:color w:val="000000"/>
                    </w:rPr>
                    <w:t xml:space="preserve"> </w:t>
                  </w:r>
                </w:p>
              </w:tc>
            </w:tr>
            <w:tr w:rsidR="009F2114" w:rsidRPr="00A6772E" w:rsidTr="00D12DE1">
              <w:tc>
                <w:tcPr>
                  <w:tcW w:w="924" w:type="pct"/>
                </w:tcPr>
                <w:p w:rsidR="009F2114" w:rsidRPr="00A6772E" w:rsidRDefault="009F2114">
                  <w:pPr>
                    <w:rPr>
                      <w:rFonts w:ascii="Arial" w:hAnsi="Arial" w:cs="Arial"/>
                      <w:b/>
                      <w:bCs/>
                      <w:color w:val="000000"/>
                    </w:rPr>
                  </w:pPr>
                  <w:r w:rsidRPr="00A6772E">
                    <w:rPr>
                      <w:rFonts w:ascii="Arial" w:hAnsi="Arial" w:cs="Arial"/>
                      <w:b/>
                      <w:bCs/>
                      <w:color w:val="000000"/>
                    </w:rPr>
                    <w:t>Type of contract</w:t>
                  </w:r>
                </w:p>
              </w:tc>
              <w:tc>
                <w:tcPr>
                  <w:tcW w:w="4076" w:type="pct"/>
                </w:tcPr>
                <w:p w:rsidR="009F2114" w:rsidRPr="00A6772E" w:rsidRDefault="009F2114">
                  <w:pPr>
                    <w:rPr>
                      <w:rFonts w:ascii="Arial" w:hAnsi="Arial" w:cs="Arial"/>
                      <w:color w:val="000000"/>
                    </w:rPr>
                  </w:pPr>
                  <w:r w:rsidRPr="00A6772E">
                    <w:rPr>
                      <w:rFonts w:ascii="Arial" w:hAnsi="Arial" w:cs="Arial"/>
                      <w:color w:val="000000"/>
                    </w:rPr>
                    <w:t>Works, Goods</w:t>
                  </w:r>
                  <w:r w:rsidR="004F7AA1" w:rsidRPr="00A6772E">
                    <w:rPr>
                      <w:rFonts w:ascii="Arial" w:hAnsi="Arial" w:cs="Arial"/>
                      <w:color w:val="000000"/>
                    </w:rPr>
                    <w:t>, Services</w:t>
                  </w:r>
                </w:p>
              </w:tc>
            </w:tr>
            <w:tr w:rsidR="009F2114" w:rsidRPr="00A6772E" w:rsidTr="00D12DE1">
              <w:tc>
                <w:tcPr>
                  <w:tcW w:w="924" w:type="pct"/>
                </w:tcPr>
                <w:p w:rsidR="009F2114" w:rsidRPr="00A6772E" w:rsidRDefault="009F2114">
                  <w:pPr>
                    <w:rPr>
                      <w:rFonts w:ascii="Arial" w:hAnsi="Arial" w:cs="Arial"/>
                      <w:b/>
                      <w:bCs/>
                      <w:color w:val="000000"/>
                    </w:rPr>
                  </w:pPr>
                  <w:r w:rsidRPr="00A6772E">
                    <w:rPr>
                      <w:rFonts w:ascii="Arial" w:hAnsi="Arial" w:cs="Arial"/>
                      <w:b/>
                      <w:bCs/>
                      <w:color w:val="000000"/>
                    </w:rPr>
                    <w:t>Type of notice</w:t>
                  </w:r>
                </w:p>
              </w:tc>
              <w:tc>
                <w:tcPr>
                  <w:tcW w:w="4076" w:type="pct"/>
                </w:tcPr>
                <w:p w:rsidR="009F2114" w:rsidRPr="00A6772E" w:rsidRDefault="009F2114">
                  <w:pPr>
                    <w:rPr>
                      <w:rFonts w:ascii="Arial" w:hAnsi="Arial" w:cs="Arial"/>
                      <w:color w:val="000000"/>
                    </w:rPr>
                  </w:pPr>
                  <w:r w:rsidRPr="00A6772E">
                    <w:rPr>
                      <w:rFonts w:ascii="Arial" w:hAnsi="Arial" w:cs="Arial"/>
                      <w:color w:val="000000"/>
                    </w:rPr>
                    <w:t>General Procurement Notice</w:t>
                  </w:r>
                </w:p>
              </w:tc>
            </w:tr>
            <w:tr w:rsidR="009F2114" w:rsidRPr="00A6772E" w:rsidTr="00D12DE1">
              <w:tc>
                <w:tcPr>
                  <w:tcW w:w="924" w:type="pct"/>
                </w:tcPr>
                <w:p w:rsidR="009F2114" w:rsidRPr="00A6772E" w:rsidRDefault="009F2114">
                  <w:pPr>
                    <w:rPr>
                      <w:rFonts w:ascii="Arial" w:hAnsi="Arial" w:cs="Arial"/>
                      <w:b/>
                      <w:bCs/>
                      <w:color w:val="000000"/>
                    </w:rPr>
                  </w:pPr>
                  <w:r w:rsidRPr="00A6772E">
                    <w:rPr>
                      <w:rFonts w:ascii="Arial" w:hAnsi="Arial" w:cs="Arial"/>
                      <w:b/>
                      <w:bCs/>
                      <w:color w:val="000000"/>
                    </w:rPr>
                    <w:t>Issue date</w:t>
                  </w:r>
                </w:p>
              </w:tc>
              <w:tc>
                <w:tcPr>
                  <w:tcW w:w="4076" w:type="pct"/>
                </w:tcPr>
                <w:p w:rsidR="009F2114" w:rsidRPr="00A6772E" w:rsidRDefault="00A62C6B">
                  <w:pPr>
                    <w:rPr>
                      <w:rFonts w:ascii="Arial" w:hAnsi="Arial" w:cs="Arial"/>
                      <w:color w:val="000000"/>
                    </w:rPr>
                  </w:pPr>
                  <w:r w:rsidRPr="00A6772E">
                    <w:rPr>
                      <w:rFonts w:ascii="Arial" w:hAnsi="Arial" w:cs="Arial"/>
                      <w:color w:val="000000"/>
                    </w:rPr>
                    <w:t>16 February 2018</w:t>
                  </w:r>
                </w:p>
              </w:tc>
            </w:tr>
            <w:tr w:rsidR="009F2114" w:rsidRPr="00A6772E" w:rsidTr="00D12DE1">
              <w:tc>
                <w:tcPr>
                  <w:tcW w:w="924" w:type="pct"/>
                </w:tcPr>
                <w:p w:rsidR="009F2114" w:rsidRPr="00A6772E" w:rsidRDefault="009F2114">
                  <w:pPr>
                    <w:rPr>
                      <w:rFonts w:ascii="Arial" w:hAnsi="Arial" w:cs="Arial"/>
                      <w:b/>
                      <w:bCs/>
                      <w:color w:val="000000"/>
                    </w:rPr>
                  </w:pPr>
                  <w:r w:rsidRPr="00A6772E">
                    <w:rPr>
                      <w:rFonts w:ascii="Arial" w:hAnsi="Arial" w:cs="Arial"/>
                      <w:b/>
                      <w:bCs/>
                      <w:color w:val="000000"/>
                    </w:rPr>
                    <w:t>Closing date</w:t>
                  </w:r>
                </w:p>
              </w:tc>
              <w:tc>
                <w:tcPr>
                  <w:tcW w:w="4076" w:type="pct"/>
                </w:tcPr>
                <w:p w:rsidR="009F2114" w:rsidRPr="00A6772E" w:rsidRDefault="00A62C6B" w:rsidP="00A62C6B">
                  <w:pPr>
                    <w:rPr>
                      <w:rFonts w:ascii="Arial" w:hAnsi="Arial" w:cs="Arial"/>
                      <w:color w:val="000000"/>
                      <w:lang w:val="en-GB"/>
                    </w:rPr>
                  </w:pPr>
                  <w:r w:rsidRPr="00A6772E">
                    <w:rPr>
                      <w:rFonts w:ascii="Arial" w:hAnsi="Arial" w:cs="Arial"/>
                      <w:color w:val="000000"/>
                    </w:rPr>
                    <w:t>15 February 2019</w:t>
                  </w:r>
                </w:p>
              </w:tc>
            </w:tr>
          </w:tbl>
          <w:p w:rsidR="009F2114" w:rsidRPr="00A6772E" w:rsidRDefault="009F2114">
            <w:pPr>
              <w:rPr>
                <w:rFonts w:ascii="Arial" w:hAnsi="Arial" w:cs="Arial"/>
                <w:color w:val="000000"/>
                <w:lang w:val="en-GB"/>
              </w:rPr>
            </w:pPr>
          </w:p>
        </w:tc>
        <w:tc>
          <w:tcPr>
            <w:tcW w:w="144" w:type="pct"/>
          </w:tcPr>
          <w:p w:rsidR="009F2114" w:rsidRPr="00A6772E" w:rsidRDefault="009F2114">
            <w:pPr>
              <w:rPr>
                <w:rFonts w:ascii="Arial" w:hAnsi="Arial" w:cs="Arial"/>
                <w:color w:val="000000"/>
                <w:lang w:val="en-GB"/>
              </w:rPr>
            </w:pPr>
          </w:p>
        </w:tc>
        <w:bookmarkStart w:id="0" w:name="_GoBack"/>
        <w:bookmarkEnd w:id="0"/>
      </w:tr>
    </w:tbl>
    <w:p w:rsidR="00394F81" w:rsidRPr="00A6772E" w:rsidRDefault="00394F81" w:rsidP="00394F81">
      <w:pPr>
        <w:pStyle w:val="NormalWeb"/>
        <w:jc w:val="both"/>
        <w:rPr>
          <w:rFonts w:ascii="Arial" w:hAnsi="Arial" w:cs="Arial"/>
          <w:color w:val="000000"/>
          <w:lang w:val="en-GB"/>
        </w:rPr>
      </w:pPr>
      <w:r w:rsidRPr="00A6772E">
        <w:rPr>
          <w:rFonts w:ascii="Arial" w:hAnsi="Arial" w:cs="Arial"/>
          <w:color w:val="000000"/>
          <w:lang w:val="en-GB"/>
        </w:rPr>
        <w:t xml:space="preserve">Chisinau Municipality intends using the proceeds of the loans from the European Bank for Reconstruction and Development (EBRD), the European Investment Bank (EIB) and E5P Grant toward the investments in the Green City Framework: Chisinau buildings Project. The proposed project, which has a total estimated cost of EUR 25 million </w:t>
      </w:r>
      <w:proofErr w:type="gramStart"/>
      <w:r w:rsidRPr="00A6772E">
        <w:rPr>
          <w:rFonts w:ascii="Arial" w:hAnsi="Arial" w:cs="Arial"/>
          <w:color w:val="000000"/>
          <w:lang w:val="en-GB"/>
        </w:rPr>
        <w:t>equivalent</w:t>
      </w:r>
      <w:proofErr w:type="gramEnd"/>
      <w:r w:rsidRPr="00A6772E">
        <w:rPr>
          <w:rFonts w:ascii="Arial" w:hAnsi="Arial" w:cs="Arial"/>
          <w:color w:val="000000"/>
          <w:lang w:val="en-GB"/>
        </w:rPr>
        <w:t>, will require the procurement of the following goods, works and services:</w:t>
      </w:r>
    </w:p>
    <w:p w:rsidR="00394F81" w:rsidRPr="00A6772E" w:rsidRDefault="00394F81" w:rsidP="00394F81">
      <w:pPr>
        <w:numPr>
          <w:ilvl w:val="0"/>
          <w:numId w:val="2"/>
        </w:numPr>
        <w:autoSpaceDE w:val="0"/>
        <w:autoSpaceDN w:val="0"/>
        <w:adjustRightInd w:val="0"/>
        <w:jc w:val="both"/>
        <w:rPr>
          <w:rFonts w:ascii="Arial" w:hAnsi="Arial" w:cs="Arial"/>
          <w:color w:val="000000"/>
          <w:lang w:val="en-GB"/>
        </w:rPr>
      </w:pPr>
      <w:r w:rsidRPr="00A6772E">
        <w:rPr>
          <w:rFonts w:ascii="Arial" w:hAnsi="Arial" w:cs="Arial"/>
          <w:color w:val="000000"/>
          <w:lang w:val="en-GB"/>
        </w:rPr>
        <w:t>Energy efficiency audit services;</w:t>
      </w:r>
    </w:p>
    <w:p w:rsidR="00394F81" w:rsidRPr="00A6772E" w:rsidRDefault="00394F81" w:rsidP="00394F81">
      <w:pPr>
        <w:numPr>
          <w:ilvl w:val="0"/>
          <w:numId w:val="2"/>
        </w:numPr>
        <w:autoSpaceDE w:val="0"/>
        <w:autoSpaceDN w:val="0"/>
        <w:adjustRightInd w:val="0"/>
        <w:jc w:val="both"/>
        <w:rPr>
          <w:rFonts w:ascii="Arial" w:hAnsi="Arial" w:cs="Arial"/>
          <w:color w:val="000000"/>
          <w:lang w:val="en-GB"/>
        </w:rPr>
      </w:pPr>
      <w:r w:rsidRPr="00A6772E">
        <w:rPr>
          <w:rFonts w:ascii="Arial" w:hAnsi="Arial" w:cs="Arial"/>
          <w:color w:val="000000"/>
          <w:lang w:val="en-GB"/>
        </w:rPr>
        <w:t>Design and energy efficiency refurbishment of buildings through energy performance contracts;</w:t>
      </w:r>
    </w:p>
    <w:p w:rsidR="00394F81" w:rsidRPr="00A6772E" w:rsidRDefault="00394F81" w:rsidP="00394F81">
      <w:pPr>
        <w:numPr>
          <w:ilvl w:val="0"/>
          <w:numId w:val="2"/>
        </w:numPr>
        <w:autoSpaceDE w:val="0"/>
        <w:autoSpaceDN w:val="0"/>
        <w:adjustRightInd w:val="0"/>
        <w:jc w:val="both"/>
        <w:rPr>
          <w:rFonts w:ascii="Arial" w:hAnsi="Arial" w:cs="Arial"/>
          <w:color w:val="000000"/>
          <w:lang w:val="en-GB"/>
        </w:rPr>
      </w:pPr>
      <w:r w:rsidRPr="00A6772E">
        <w:rPr>
          <w:rFonts w:ascii="Arial" w:hAnsi="Arial" w:cs="Arial"/>
          <w:color w:val="000000"/>
          <w:lang w:val="en-GB"/>
        </w:rPr>
        <w:t>Supervision services;</w:t>
      </w:r>
    </w:p>
    <w:p w:rsidR="00394F81" w:rsidRPr="00A6772E" w:rsidRDefault="00394F81" w:rsidP="00394F81">
      <w:pPr>
        <w:autoSpaceDE w:val="0"/>
        <w:autoSpaceDN w:val="0"/>
        <w:adjustRightInd w:val="0"/>
        <w:jc w:val="both"/>
        <w:rPr>
          <w:rFonts w:ascii="Arial" w:hAnsi="Arial" w:cs="Arial"/>
          <w:color w:val="000000"/>
          <w:lang w:val="en-GB"/>
        </w:rPr>
      </w:pPr>
      <w:r w:rsidRPr="00A6772E">
        <w:rPr>
          <w:rFonts w:ascii="Arial" w:hAnsi="Arial" w:cs="Arial"/>
          <w:color w:val="000000"/>
          <w:lang w:val="en-GB"/>
        </w:rPr>
        <w:br/>
        <w:t>Selection for the energy efficiency audit services will start in the first quarter 2018. Tendering for other components is planned for the second quarter 2018.</w:t>
      </w:r>
    </w:p>
    <w:p w:rsidR="00394F81" w:rsidRPr="00A6772E" w:rsidRDefault="00394F81" w:rsidP="00394F81">
      <w:pPr>
        <w:autoSpaceDE w:val="0"/>
        <w:autoSpaceDN w:val="0"/>
        <w:adjustRightInd w:val="0"/>
        <w:jc w:val="both"/>
        <w:rPr>
          <w:rFonts w:ascii="Arial" w:hAnsi="Arial" w:cs="Arial"/>
          <w:color w:val="000000"/>
          <w:lang w:val="en-GB"/>
        </w:rPr>
      </w:pPr>
      <w:r w:rsidRPr="00A6772E">
        <w:rPr>
          <w:rFonts w:ascii="Arial" w:hAnsi="Arial" w:cs="Arial"/>
          <w:color w:val="000000"/>
          <w:lang w:val="en-GB"/>
        </w:rPr>
        <w:br/>
        <w:t>Contracts to be financed with the proceeds of the loans will be subject to the EBRD's Procurement Policies and Rules and will be open to firms from any country. The proceeds of these loans will not be used for the purposes of any payment to persons or entities, or for any import of goods, if such payment or import is prohibited by a decision of the United Nations Security Council taken under Chapter VII of the Charter of the United Nations or under a law of official regulation of the Purchaser's country.</w:t>
      </w:r>
      <w:r w:rsidRPr="00A6772E">
        <w:rPr>
          <w:rFonts w:ascii="Arial" w:hAnsi="Arial" w:cs="Arial"/>
          <w:color w:val="000000"/>
          <w:lang w:val="en-GB"/>
        </w:rPr>
        <w:br/>
      </w:r>
      <w:r w:rsidRPr="00A6772E">
        <w:rPr>
          <w:rFonts w:ascii="Arial" w:hAnsi="Arial" w:cs="Arial"/>
          <w:color w:val="000000"/>
          <w:lang w:val="en-GB"/>
        </w:rPr>
        <w:br/>
        <w:t>Interested suppliers, contractors and consultants should contact:</w:t>
      </w:r>
    </w:p>
    <w:p w:rsidR="00394F81" w:rsidRPr="00A6772E" w:rsidRDefault="00394F81" w:rsidP="00394F81">
      <w:pPr>
        <w:autoSpaceDE w:val="0"/>
        <w:autoSpaceDN w:val="0"/>
        <w:adjustRightInd w:val="0"/>
        <w:jc w:val="both"/>
        <w:rPr>
          <w:color w:val="000000"/>
          <w:highlight w:val="yellow"/>
          <w:lang w:val="en-GB"/>
        </w:rPr>
      </w:pPr>
    </w:p>
    <w:p w:rsidR="00394F81" w:rsidRPr="00A6772E" w:rsidRDefault="00394F81" w:rsidP="00394F81">
      <w:pPr>
        <w:pStyle w:val="NormalWeb"/>
        <w:spacing w:before="0" w:beforeAutospacing="0" w:after="0" w:afterAutospacing="0"/>
        <w:jc w:val="center"/>
        <w:rPr>
          <w:rFonts w:ascii="Arial" w:hAnsi="Arial" w:cs="Arial"/>
          <w:lang w:val="en-US"/>
        </w:rPr>
      </w:pPr>
      <w:r w:rsidRPr="00A6772E">
        <w:rPr>
          <w:rFonts w:ascii="Arial" w:hAnsi="Arial" w:cs="Arial"/>
          <w:lang w:val="en-US"/>
        </w:rPr>
        <w:t xml:space="preserve">Olga </w:t>
      </w:r>
      <w:proofErr w:type="spellStart"/>
      <w:r w:rsidRPr="00A6772E">
        <w:rPr>
          <w:rFonts w:ascii="Arial" w:hAnsi="Arial" w:cs="Arial"/>
          <w:lang w:val="en-US"/>
        </w:rPr>
        <w:t>Ursu</w:t>
      </w:r>
      <w:proofErr w:type="spellEnd"/>
      <w:r w:rsidRPr="00A6772E">
        <w:rPr>
          <w:rFonts w:ascii="Arial" w:hAnsi="Arial" w:cs="Arial"/>
          <w:lang w:val="en-US"/>
        </w:rPr>
        <w:br/>
        <w:t>PIU Manager</w:t>
      </w:r>
      <w:r w:rsidRPr="00A6772E">
        <w:rPr>
          <w:rFonts w:ascii="Arial" w:hAnsi="Arial" w:cs="Arial"/>
          <w:lang w:val="en-US"/>
        </w:rPr>
        <w:br/>
        <w:t>Municipality of Chisinau</w:t>
      </w:r>
      <w:r w:rsidRPr="00A6772E">
        <w:rPr>
          <w:rFonts w:ascii="Arial" w:hAnsi="Arial" w:cs="Arial"/>
          <w:lang w:val="en-US"/>
        </w:rPr>
        <w:br/>
        <w:t xml:space="preserve">83, Stefan </w:t>
      </w:r>
      <w:proofErr w:type="spellStart"/>
      <w:r w:rsidRPr="00A6772E">
        <w:rPr>
          <w:rFonts w:ascii="Arial" w:hAnsi="Arial" w:cs="Arial"/>
          <w:lang w:val="en-US"/>
        </w:rPr>
        <w:t>cel</w:t>
      </w:r>
      <w:proofErr w:type="spellEnd"/>
      <w:r w:rsidRPr="00A6772E">
        <w:rPr>
          <w:rFonts w:ascii="Arial" w:hAnsi="Arial" w:cs="Arial"/>
          <w:lang w:val="en-US"/>
        </w:rPr>
        <w:t xml:space="preserve"> Mare avenue, Chisinau,</w:t>
      </w:r>
    </w:p>
    <w:p w:rsidR="00394F81" w:rsidRPr="00A6772E" w:rsidRDefault="00394F81" w:rsidP="00394F81">
      <w:pPr>
        <w:pStyle w:val="NormalWeb"/>
        <w:spacing w:before="0" w:beforeAutospacing="0" w:after="0" w:afterAutospacing="0"/>
        <w:jc w:val="center"/>
        <w:rPr>
          <w:rFonts w:ascii="Arial" w:hAnsi="Arial" w:cs="Arial"/>
          <w:b/>
          <w:bCs/>
          <w:color w:val="000000"/>
          <w:lang w:val="en-GB"/>
        </w:rPr>
      </w:pPr>
      <w:r w:rsidRPr="00A6772E">
        <w:rPr>
          <w:rFonts w:ascii="Arial" w:hAnsi="Arial" w:cs="Arial"/>
          <w:lang w:val="en-US"/>
        </w:rPr>
        <w:t>MD 2012, Republic of Moldova</w:t>
      </w:r>
      <w:r w:rsidRPr="00A6772E">
        <w:rPr>
          <w:rFonts w:ascii="Arial" w:hAnsi="Arial" w:cs="Arial"/>
          <w:lang w:val="en-US"/>
        </w:rPr>
        <w:br/>
        <w:t>Tel: +373 60002205</w:t>
      </w:r>
      <w:r w:rsidRPr="00A6772E">
        <w:rPr>
          <w:rFonts w:ascii="Arial" w:hAnsi="Arial" w:cs="Arial"/>
          <w:lang w:val="en-US"/>
        </w:rPr>
        <w:br/>
        <w:t xml:space="preserve">e-mail: </w:t>
      </w:r>
      <w:hyperlink r:id="rId9" w:history="1">
        <w:r w:rsidRPr="00A6772E">
          <w:rPr>
            <w:rStyle w:val="Hyperlink"/>
            <w:rFonts w:ascii="Arial" w:hAnsi="Arial" w:cs="Arial"/>
            <w:lang w:val="en-US"/>
          </w:rPr>
          <w:t>olga.ursu@pmc.md</w:t>
        </w:r>
      </w:hyperlink>
    </w:p>
    <w:p w:rsidR="009F2114" w:rsidRPr="00A6772E" w:rsidRDefault="00EE0FC9" w:rsidP="00394F81">
      <w:pPr>
        <w:pStyle w:val="NormalWeb"/>
        <w:spacing w:before="0" w:beforeAutospacing="0" w:after="0" w:afterAutospacing="0"/>
        <w:jc w:val="center"/>
        <w:rPr>
          <w:rFonts w:ascii="Arial" w:hAnsi="Arial" w:cs="Arial"/>
          <w:lang w:val="en-US"/>
        </w:rPr>
      </w:pPr>
      <w:hyperlink r:id="rId10" w:history="1">
        <w:r w:rsidR="00394F81" w:rsidRPr="00A6772E">
          <w:rPr>
            <w:rStyle w:val="Hyperlink"/>
            <w:rFonts w:ascii="Arial" w:hAnsi="Arial" w:cs="Arial"/>
            <w:lang w:val="en-US"/>
          </w:rPr>
          <w:t>http://www.chisinau.md</w:t>
        </w:r>
      </w:hyperlink>
    </w:p>
    <w:p w:rsidR="00394F81" w:rsidRPr="00394F81" w:rsidRDefault="00394F81" w:rsidP="00394F81">
      <w:pPr>
        <w:pStyle w:val="NormalWeb"/>
        <w:spacing w:before="0" w:beforeAutospacing="0" w:after="0" w:afterAutospacing="0"/>
        <w:jc w:val="center"/>
        <w:rPr>
          <w:rFonts w:ascii="Arial" w:hAnsi="Arial" w:cs="Arial"/>
          <w:sz w:val="18"/>
          <w:szCs w:val="18"/>
          <w:lang w:val="en-US"/>
        </w:rPr>
      </w:pPr>
    </w:p>
    <w:sectPr w:rsidR="00394F81" w:rsidRPr="00394F81" w:rsidSect="0082667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C9" w:rsidRDefault="00EE0FC9" w:rsidP="0039127E">
      <w:r>
        <w:separator/>
      </w:r>
    </w:p>
  </w:endnote>
  <w:endnote w:type="continuationSeparator" w:id="0">
    <w:p w:rsidR="00EE0FC9" w:rsidRDefault="00EE0FC9" w:rsidP="0039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C9" w:rsidRDefault="00EE0FC9" w:rsidP="0039127E">
      <w:r>
        <w:separator/>
      </w:r>
    </w:p>
  </w:footnote>
  <w:footnote w:type="continuationSeparator" w:id="0">
    <w:p w:rsidR="00EE0FC9" w:rsidRDefault="00EE0FC9" w:rsidP="00391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B4A2F"/>
    <w:multiLevelType w:val="hybridMultilevel"/>
    <w:tmpl w:val="0082DDA0"/>
    <w:lvl w:ilvl="0" w:tplc="38381982">
      <w:start w:val="583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A24A5B"/>
    <w:multiLevelType w:val="hybridMultilevel"/>
    <w:tmpl w:val="994680E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C6"/>
    <w:rsid w:val="0001277A"/>
    <w:rsid w:val="00126C3E"/>
    <w:rsid w:val="0039127E"/>
    <w:rsid w:val="00394F81"/>
    <w:rsid w:val="00437024"/>
    <w:rsid w:val="00490118"/>
    <w:rsid w:val="004B73C6"/>
    <w:rsid w:val="004F7AA1"/>
    <w:rsid w:val="005E6A95"/>
    <w:rsid w:val="00767E27"/>
    <w:rsid w:val="0079303B"/>
    <w:rsid w:val="007F7612"/>
    <w:rsid w:val="0082667A"/>
    <w:rsid w:val="0084264E"/>
    <w:rsid w:val="009025D8"/>
    <w:rsid w:val="00935AF9"/>
    <w:rsid w:val="009F2114"/>
    <w:rsid w:val="00A62C6B"/>
    <w:rsid w:val="00A6772E"/>
    <w:rsid w:val="00AB6DDF"/>
    <w:rsid w:val="00B971AE"/>
    <w:rsid w:val="00C014EA"/>
    <w:rsid w:val="00D12DE1"/>
    <w:rsid w:val="00E37C97"/>
    <w:rsid w:val="00EE0FC9"/>
    <w:rsid w:val="00F0026F"/>
    <w:rsid w:val="00F10D25"/>
    <w:rsid w:val="00F246DE"/>
    <w:rsid w:val="00F606F5"/>
    <w:rsid w:val="00F9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A95"/>
    <w:rPr>
      <w:sz w:val="24"/>
      <w:szCs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73C6"/>
    <w:rPr>
      <w:rFonts w:cs="Times New Roman"/>
      <w:color w:val="0000FF"/>
      <w:u w:val="single"/>
    </w:rPr>
  </w:style>
  <w:style w:type="paragraph" w:styleId="NormalWeb">
    <w:name w:val="Normal (Web)"/>
    <w:basedOn w:val="Normal"/>
    <w:rsid w:val="004B73C6"/>
    <w:pPr>
      <w:spacing w:before="100" w:beforeAutospacing="1" w:after="100" w:afterAutospacing="1"/>
    </w:pPr>
  </w:style>
  <w:style w:type="paragraph" w:styleId="Header">
    <w:name w:val="header"/>
    <w:basedOn w:val="Normal"/>
    <w:link w:val="HeaderChar"/>
    <w:rsid w:val="00A62C6B"/>
    <w:pPr>
      <w:tabs>
        <w:tab w:val="center" w:pos="4513"/>
        <w:tab w:val="right" w:pos="9026"/>
      </w:tabs>
    </w:pPr>
  </w:style>
  <w:style w:type="character" w:customStyle="1" w:styleId="HeaderChar">
    <w:name w:val="Header Char"/>
    <w:basedOn w:val="DefaultParagraphFont"/>
    <w:link w:val="Header"/>
    <w:rsid w:val="00A62C6B"/>
    <w:rPr>
      <w:sz w:val="24"/>
      <w:szCs w:val="24"/>
      <w:lang w:val="fi-FI" w:eastAsia="fi-FI"/>
    </w:rPr>
  </w:style>
  <w:style w:type="paragraph" w:styleId="Footer">
    <w:name w:val="footer"/>
    <w:basedOn w:val="Normal"/>
    <w:link w:val="FooterChar"/>
    <w:rsid w:val="00A62C6B"/>
    <w:pPr>
      <w:tabs>
        <w:tab w:val="center" w:pos="4513"/>
        <w:tab w:val="right" w:pos="9026"/>
      </w:tabs>
    </w:pPr>
  </w:style>
  <w:style w:type="character" w:customStyle="1" w:styleId="FooterChar">
    <w:name w:val="Footer Char"/>
    <w:basedOn w:val="DefaultParagraphFont"/>
    <w:link w:val="Footer"/>
    <w:rsid w:val="00A62C6B"/>
    <w:rPr>
      <w:sz w:val="24"/>
      <w:szCs w:val="24"/>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A95"/>
    <w:rPr>
      <w:sz w:val="24"/>
      <w:szCs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73C6"/>
    <w:rPr>
      <w:rFonts w:cs="Times New Roman"/>
      <w:color w:val="0000FF"/>
      <w:u w:val="single"/>
    </w:rPr>
  </w:style>
  <w:style w:type="paragraph" w:styleId="NormalWeb">
    <w:name w:val="Normal (Web)"/>
    <w:basedOn w:val="Normal"/>
    <w:rsid w:val="004B73C6"/>
    <w:pPr>
      <w:spacing w:before="100" w:beforeAutospacing="1" w:after="100" w:afterAutospacing="1"/>
    </w:pPr>
  </w:style>
  <w:style w:type="paragraph" w:styleId="Header">
    <w:name w:val="header"/>
    <w:basedOn w:val="Normal"/>
    <w:link w:val="HeaderChar"/>
    <w:rsid w:val="00A62C6B"/>
    <w:pPr>
      <w:tabs>
        <w:tab w:val="center" w:pos="4513"/>
        <w:tab w:val="right" w:pos="9026"/>
      </w:tabs>
    </w:pPr>
  </w:style>
  <w:style w:type="character" w:customStyle="1" w:styleId="HeaderChar">
    <w:name w:val="Header Char"/>
    <w:basedOn w:val="DefaultParagraphFont"/>
    <w:link w:val="Header"/>
    <w:rsid w:val="00A62C6B"/>
    <w:rPr>
      <w:sz w:val="24"/>
      <w:szCs w:val="24"/>
      <w:lang w:val="fi-FI" w:eastAsia="fi-FI"/>
    </w:rPr>
  </w:style>
  <w:style w:type="paragraph" w:styleId="Footer">
    <w:name w:val="footer"/>
    <w:basedOn w:val="Normal"/>
    <w:link w:val="FooterChar"/>
    <w:rsid w:val="00A62C6B"/>
    <w:pPr>
      <w:tabs>
        <w:tab w:val="center" w:pos="4513"/>
        <w:tab w:val="right" w:pos="9026"/>
      </w:tabs>
    </w:pPr>
  </w:style>
  <w:style w:type="character" w:customStyle="1" w:styleId="FooterChar">
    <w:name w:val="Footer Char"/>
    <w:basedOn w:val="DefaultParagraphFont"/>
    <w:link w:val="Footer"/>
    <w:rsid w:val="00A62C6B"/>
    <w:rPr>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sinau.md" TargetMode="External"/><Relationship Id="rId4" Type="http://schemas.microsoft.com/office/2007/relationships/stylesWithEffects" Target="stylesWithEffects.xml"/><Relationship Id="rId9" Type="http://schemas.openxmlformats.org/officeDocument/2006/relationships/hyperlink" Target="mailto:olga.ursu@pmc.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file>

<file path=customXml/itemProps1.xml><?xml version="1.0" encoding="utf-8"?>
<ds:datastoreItem xmlns:ds="http://schemas.openxmlformats.org/officeDocument/2006/customXml" ds:itemID="{952AA1AC-C9BD-4EEB-8CE7-CFADC09D08A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name</vt:lpstr>
    </vt:vector>
  </TitlesOfParts>
  <Company>Ramboll Finland Oy</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mauri.mottonen</dc:creator>
  <cp:keywords>[EBRD]</cp:keywords>
  <cp:lastModifiedBy>Tatiana Lupașco</cp:lastModifiedBy>
  <cp:revision>3</cp:revision>
  <dcterms:created xsi:type="dcterms:W3CDTF">2018-02-16T14:19:00Z</dcterms:created>
  <dcterms:modified xsi:type="dcterms:W3CDTF">2018-02-16T14:19:00Z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c7994c6d-5f38-40ea-99d6-b4785a8ee7b9</vt:lpwstr>
  </property>
  <property fmtid="{D5CDD505-2E9C-101B-9397-08002B2CF9AE}" pid="3" name="bjSaver">
    <vt:lpwstr>jaos48rJ85OepRaCqoIRlATUqsfi8cDw</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ies>
</file>