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1717B02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0B3957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22993A6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0799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41AE5997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C07993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07993">
        <w:rPr>
          <w:rFonts w:ascii="Times New Roman" w:eastAsia="Calibri" w:hAnsi="Times New Roman" w:cs="Times New Roman"/>
          <w:b/>
          <w:bCs/>
          <w:sz w:val="24"/>
          <w:szCs w:val="24"/>
        </w:rPr>
        <w:t>Parcul ”La Izvor” (zona stadionului - fotbal de plajă)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C07993">
        <w:rPr>
          <w:rFonts w:ascii="Times New Roman" w:hAnsi="Times New Roman" w:cs="Times New Roman"/>
          <w:b/>
          <w:sz w:val="24"/>
          <w:szCs w:val="24"/>
          <w:lang w:val="ro-RO"/>
        </w:rPr>
        <w:t>81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45FAD9F4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C07993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957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4FDF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993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80</cp:revision>
  <dcterms:created xsi:type="dcterms:W3CDTF">2020-10-16T12:51:00Z</dcterms:created>
  <dcterms:modified xsi:type="dcterms:W3CDTF">2024-10-23T10:54:00Z</dcterms:modified>
</cp:coreProperties>
</file>