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7875FAF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CE6B77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534386C0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0ADD04EE" w:rsidR="00BC2D93" w:rsidRPr="0021052F" w:rsidRDefault="00CE6B77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E6B7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o-RO"/>
        </w:rPr>
        <w:t>sector Rîșcani, str. Studenților, 7/6, vis-a-vis,  Anexa nr. 71</w:t>
      </w:r>
      <w:r w:rsidRPr="00CE6B7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142E96EA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D04FB">
        <w:rPr>
          <w:rFonts w:ascii="Times New Roman" w:eastAsia="Calibri" w:hAnsi="Times New Roman" w:cs="Times New Roman"/>
          <w:b/>
          <w:bCs/>
          <w:sz w:val="24"/>
          <w:szCs w:val="24"/>
        </w:rPr>
        <w:t>gheretă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3B6A4F22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7D04FB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36EF1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04FB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E6B77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 Constantinov</cp:lastModifiedBy>
  <cp:revision>14</cp:revision>
  <cp:lastPrinted>2020-10-29T08:41:00Z</cp:lastPrinted>
  <dcterms:created xsi:type="dcterms:W3CDTF">2023-02-03T09:58:00Z</dcterms:created>
  <dcterms:modified xsi:type="dcterms:W3CDTF">2024-10-23T12:37:00Z</dcterms:modified>
</cp:coreProperties>
</file>