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4A0"/>
      </w:tblPr>
      <w:tblGrid>
        <w:gridCol w:w="652"/>
        <w:gridCol w:w="6969"/>
        <w:gridCol w:w="1843"/>
      </w:tblGrid>
      <w:tr w:rsidR="006542FE" w:rsidTr="00A229BD">
        <w:trPr>
          <w:trHeight w:val="1215"/>
        </w:trPr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6542FE" w:rsidRDefault="006542F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2" w:type="dxa"/>
            <w:gridSpan w:val="2"/>
            <w:vAlign w:val="center"/>
          </w:tcPr>
          <w:p w:rsidR="006542FE" w:rsidRDefault="006542FE">
            <w:pPr>
              <w:pStyle w:val="a3"/>
              <w:spacing w:line="276" w:lineRule="auto"/>
              <w:ind w:firstLine="4593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:rsidR="006542FE" w:rsidRDefault="006542FE">
            <w:pPr>
              <w:pStyle w:val="a3"/>
              <w:spacing w:line="276" w:lineRule="auto"/>
              <w:ind w:firstLine="4593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:rsidR="006542FE" w:rsidRDefault="006542FE">
            <w:pPr>
              <w:pStyle w:val="a3"/>
              <w:spacing w:line="276" w:lineRule="auto"/>
              <w:ind w:firstLine="4593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Anexa nr. 2 la  decizia  </w:t>
            </w:r>
          </w:p>
          <w:p w:rsidR="006542FE" w:rsidRDefault="006542FE">
            <w:pPr>
              <w:pStyle w:val="a3"/>
              <w:spacing w:line="276" w:lineRule="auto"/>
              <w:ind w:firstLine="4593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Consiliului  Municipal  Chişinău           </w:t>
            </w:r>
          </w:p>
          <w:p w:rsidR="006542FE" w:rsidRDefault="006542FE">
            <w:pPr>
              <w:pStyle w:val="a3"/>
              <w:spacing w:line="276" w:lineRule="auto"/>
              <w:ind w:firstLine="4593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nr._______ din _________2021                       </w:t>
            </w:r>
          </w:p>
          <w:p w:rsidR="006542FE" w:rsidRDefault="0065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 w:eastAsia="ru-RU"/>
              </w:rPr>
            </w:pPr>
          </w:p>
          <w:p w:rsidR="006542FE" w:rsidRDefault="0065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 w:eastAsia="ru-RU"/>
              </w:rPr>
            </w:pPr>
          </w:p>
          <w:p w:rsidR="006542FE" w:rsidRDefault="0065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Cotele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concrete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taxei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locale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542FE" w:rsidRDefault="0065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prestarea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serviciilor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transport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auto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călători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teritoriul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municipiului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Chişinău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anul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2022</w:t>
            </w:r>
          </w:p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42FE" w:rsidTr="00A229BD">
        <w:trPr>
          <w:trHeight w:val="1620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rută</w:t>
            </w:r>
            <w:proofErr w:type="spellEnd"/>
          </w:p>
        </w:tc>
        <w:tc>
          <w:tcPr>
            <w:tcW w:w="6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Denumirea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rutei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lunară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taxei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locale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unitate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transport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lei</w:t>
            </w:r>
            <w:proofErr w:type="spellEnd"/>
          </w:p>
        </w:tc>
      </w:tr>
      <w:tr w:rsidR="006542FE" w:rsidTr="00A229BD">
        <w:trPr>
          <w:trHeight w:val="40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Durleşti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Caucaz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Traian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2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Dumbrava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Arheolog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Casian-Suruceanu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Piaţa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Dimitrie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Cantemir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Ghidighici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Sărături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</w:tr>
      <w:tr w:rsidR="006542FE" w:rsidTr="006542FE">
        <w:trPr>
          <w:trHeight w:val="34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Codru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Sihastrului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Mesager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37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Studenţilor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C.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Vârnav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M.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Sadoveanu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Dacia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magazinul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„Metro-2”)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52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Alexei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Mateevici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Samizegetusa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4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satul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Coloniţa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Stejarilor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31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August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1989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2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Arheolog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Casian-Suruceanu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Studenţilor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46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Sf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Vineri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şos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Munceşti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51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Bubuieci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Ştefan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Mare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Liviu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Deleanu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6542FE" w:rsidTr="006542FE">
        <w:trPr>
          <w:trHeight w:val="51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Bucovinei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Centrul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agrement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Mall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Pietrăriei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</w:tr>
      <w:tr w:rsidR="006542FE" w:rsidTr="006542FE">
        <w:trPr>
          <w:trHeight w:val="52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Durleşti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Tudor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Vladimirescu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şos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Hânceşti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5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Durleşti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Testemiţanu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Testemiţanu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Institutul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Oncologic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Institutul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Oncologic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  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Testemiţanu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600/500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Vadul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Vodă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plajă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500/600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6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Vadul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Vodă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plajă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500/600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6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Doina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Cimitirul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Sf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Lazăr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2E53C5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Doina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2E53C5">
        <w:trPr>
          <w:trHeight w:val="405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69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comuna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Bubuieci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Vieru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</w:tr>
      <w:tr w:rsidR="006542FE" w:rsidTr="002E53C5">
        <w:trPr>
          <w:trHeight w:val="405"/>
        </w:trPr>
        <w:tc>
          <w:tcPr>
            <w:tcW w:w="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140</w:t>
            </w:r>
          </w:p>
        </w:tc>
        <w:tc>
          <w:tcPr>
            <w:tcW w:w="69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comuna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Stăuceni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Bucovinei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comuna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Ciorescu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Cheltuitor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Tohatin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Meşterul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Manole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Cricova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57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raza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limitrofă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Chişinău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Floreni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intersecţie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calea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ferată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—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Gagarin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4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Meşterul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Manole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Budeşti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Doina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Cimitirul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Sf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Lazăr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Bulgară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Ismail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Aeroport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61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Bucovinei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Grădina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Botanică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dispeceratul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RTEC)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6542FE" w:rsidTr="006542FE">
        <w:trPr>
          <w:trHeight w:val="37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Codru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Potârnichii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Maria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Drăgan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Vatra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zona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odihnă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Salcâmilor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Alba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Iulia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Varnița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2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Codru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N.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Turghenev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Auto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Nord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Codreanu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Pădurii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Băcioii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Armenească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0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Codru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Schinoasa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Auto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Nord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375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Constructorilor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Independenței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6542FE" w:rsidTr="006542FE">
        <w:trPr>
          <w:trHeight w:val="45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Pietrarilor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Alba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Iulia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45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Hulboaca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șos. Hâncești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45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Traian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Mihai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Viteazul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  <w:tr w:rsidR="006542FE" w:rsidTr="006542FE">
        <w:trPr>
          <w:trHeight w:val="45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comuna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Stăuceni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Ialoveni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6542FE" w:rsidTr="006542FE">
        <w:trPr>
          <w:trHeight w:val="57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Bucovinei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Cașu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</w:tr>
      <w:tr w:rsidR="006542FE" w:rsidTr="006542FE">
        <w:trPr>
          <w:trHeight w:val="540"/>
        </w:trPr>
        <w:tc>
          <w:tcPr>
            <w:tcW w:w="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6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Mihai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Viteazul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magazinul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Orhei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Auto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Sud-Vest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542FE" w:rsidRDefault="006542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</w:tr>
    </w:tbl>
    <w:p w:rsidR="006542FE" w:rsidRDefault="006542FE" w:rsidP="006542FE">
      <w:pPr>
        <w:rPr>
          <w:rFonts w:ascii="Calibri" w:hAnsi="Calibri"/>
          <w:sz w:val="28"/>
          <w:szCs w:val="28"/>
        </w:rPr>
      </w:pPr>
    </w:p>
    <w:p w:rsidR="006542FE" w:rsidRDefault="006542FE" w:rsidP="00654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Not</w:t>
      </w:r>
      <w:r>
        <w:rPr>
          <w:rFonts w:ascii="Times New Roman" w:hAnsi="Times New Roman" w:cs="Times New Roman"/>
          <w:sz w:val="28"/>
          <w:szCs w:val="28"/>
        </w:rPr>
        <w:t>e: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1.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Subiecți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impunerii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taxe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locale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lunare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transport auto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călători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municipiului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Chișinău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consideră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persoanele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juridice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fizice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înregistrate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calitate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întreprinzători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prestează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servicii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transport auto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călători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rutele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regulate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municipale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regim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taxi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dispun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licențe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gen 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activitate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scutesc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întreprinderile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Parcul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urban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autobuze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și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electric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taxei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locale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lunare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călători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teritoriul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Chișinău,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unitățile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aflate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balanța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cauză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</w:t>
      </w:r>
      <w:proofErr w:type="spellStart"/>
      <w:r>
        <w:rPr>
          <w:rFonts w:ascii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învestește Direcția </w:t>
      </w:r>
      <w:proofErr w:type="spellStart"/>
      <w:r>
        <w:rPr>
          <w:rFonts w:ascii="Times New Roman" w:hAnsi="Times New Roman" w:cs="Times New Roman"/>
          <w:sz w:val="28"/>
          <w:szCs w:val="28"/>
        </w:rPr>
        <w:t>generală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și </w:t>
      </w:r>
      <w:proofErr w:type="spellStart"/>
      <w:r>
        <w:rPr>
          <w:rFonts w:ascii="Times New Roman" w:hAnsi="Times New Roman" w:cs="Times New Roman"/>
          <w:sz w:val="28"/>
          <w:szCs w:val="28"/>
        </w:rPr>
        <w:t>căi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comunicație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 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beneficiar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călătorilor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Chișinău, </w:t>
      </w:r>
      <w:proofErr w:type="spellStart"/>
      <w:r>
        <w:rPr>
          <w:rFonts w:ascii="Times New Roman" w:hAnsi="Times New Roman" w:cs="Times New Roman"/>
          <w:sz w:val="28"/>
          <w:szCs w:val="28"/>
        </w:rPr>
        <w:t>cu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încheia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contracte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rutelor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municipale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</w:t>
      </w:r>
      <w:proofErr w:type="spellStart"/>
      <w:r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concret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unităților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fiecare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stabilește </w:t>
      </w:r>
      <w:proofErr w:type="spellStart"/>
      <w:r>
        <w:rPr>
          <w:rFonts w:ascii="Times New Roman" w:hAnsi="Times New Roman" w:cs="Times New Roman"/>
          <w:sz w:val="28"/>
          <w:szCs w:val="28"/>
        </w:rPr>
        <w:t>lunar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Primăria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Chișinău,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Planul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operațional,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funcție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necesitățile </w:t>
      </w:r>
      <w:proofErr w:type="spellStart"/>
      <w:r>
        <w:rPr>
          <w:rFonts w:ascii="Times New Roman" w:hAnsi="Times New Roman" w:cs="Times New Roman"/>
          <w:sz w:val="28"/>
          <w:szCs w:val="28"/>
        </w:rPr>
        <w:t>urbei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</w:t>
      </w:r>
      <w:proofErr w:type="spellStart"/>
      <w:r>
        <w:rPr>
          <w:rFonts w:ascii="Times New Roman" w:hAnsi="Times New Roman" w:cs="Times New Roman"/>
          <w:sz w:val="28"/>
          <w:szCs w:val="28"/>
        </w:rPr>
        <w:t>Cota-parte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taxei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locale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indicată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numărător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achită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perioadele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septembrie-31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și,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respectiv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 iunie-31 </w:t>
      </w:r>
      <w:proofErr w:type="spellStart"/>
      <w:r>
        <w:rPr>
          <w:rFonts w:ascii="Times New Roman" w:hAnsi="Times New Roman" w:cs="Times New Roman"/>
          <w:sz w:val="28"/>
          <w:szCs w:val="28"/>
        </w:rPr>
        <w:t>august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6.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stabilește </w:t>
      </w:r>
      <w:proofErr w:type="spellStart"/>
      <w:r>
        <w:rPr>
          <w:rFonts w:ascii="Times New Roman" w:hAnsi="Times New Roman" w:cs="Times New Roman"/>
          <w:sz w:val="28"/>
          <w:szCs w:val="28"/>
        </w:rPr>
        <w:t>cota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provizorie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taxei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locale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serviciilor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călători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teritoriul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rutele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deschise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mărime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325 </w:t>
      </w:r>
      <w:proofErr w:type="spellStart"/>
      <w:r>
        <w:rPr>
          <w:rFonts w:ascii="Times New Roman" w:hAnsi="Times New Roman" w:cs="Times New Roman"/>
          <w:sz w:val="28"/>
          <w:szCs w:val="28"/>
        </w:rPr>
        <w:t>lei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și </w:t>
      </w:r>
      <w:proofErr w:type="spellStart"/>
      <w:r>
        <w:rPr>
          <w:rFonts w:ascii="Times New Roman" w:hAnsi="Times New Roman" w:cs="Times New Roman"/>
          <w:sz w:val="28"/>
          <w:szCs w:val="28"/>
        </w:rPr>
        <w:t>coeficientul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emisie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0,75, </w:t>
      </w:r>
      <w:proofErr w:type="spellStart"/>
      <w:r>
        <w:rPr>
          <w:rFonts w:ascii="Times New Roman" w:hAnsi="Times New Roman" w:cs="Times New Roman"/>
          <w:sz w:val="28"/>
          <w:szCs w:val="28"/>
        </w:rPr>
        <w:t>până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cotei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concrete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taxei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locale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respective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decizia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municipal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Chișinău.  </w:t>
      </w:r>
      <w:proofErr w:type="gramEnd"/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SECRETAR INTERIMAR </w:t>
      </w:r>
    </w:p>
    <w:p w:rsidR="006542FE" w:rsidRDefault="006542FE" w:rsidP="006542F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 CONSILI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ULUI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Adrian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TALMACI</w:t>
      </w:r>
    </w:p>
    <w:p w:rsidR="006542FE" w:rsidRDefault="006542FE" w:rsidP="006542FE">
      <w:pPr>
        <w:rPr>
          <w:rFonts w:ascii="Times New Roman" w:hAnsi="Times New Roman" w:cs="Times New Roman"/>
        </w:rPr>
      </w:pPr>
    </w:p>
    <w:p w:rsidR="006831B0" w:rsidRPr="006542FE" w:rsidRDefault="006831B0" w:rsidP="006542FE"/>
    <w:sectPr w:rsidR="006831B0" w:rsidRPr="006542FE" w:rsidSect="002436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1E7C"/>
    <w:rsid w:val="00061E7C"/>
    <w:rsid w:val="001331C2"/>
    <w:rsid w:val="00225280"/>
    <w:rsid w:val="0024363C"/>
    <w:rsid w:val="002713B1"/>
    <w:rsid w:val="002E53C5"/>
    <w:rsid w:val="006542FE"/>
    <w:rsid w:val="006831B0"/>
    <w:rsid w:val="00A229BD"/>
    <w:rsid w:val="00B51D8B"/>
    <w:rsid w:val="00BF6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7C"/>
    <w:pPr>
      <w:spacing w:after="160" w:line="259" w:lineRule="auto"/>
    </w:pPr>
    <w:rPr>
      <w:rFonts w:eastAsiaTheme="minorHAns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E7C"/>
    <w:pPr>
      <w:spacing w:after="0" w:line="240" w:lineRule="auto"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667</Words>
  <Characters>3875</Characters>
  <Application>Microsoft Office Word</Application>
  <DocSecurity>0</DocSecurity>
  <Lines>32</Lines>
  <Paragraphs>9</Paragraphs>
  <ScaleCrop>false</ScaleCrop>
  <Company>CtrlSoft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mandreeva</dc:creator>
  <cp:keywords/>
  <dc:description/>
  <cp:lastModifiedBy>mandreeva</cp:lastModifiedBy>
  <cp:revision>7</cp:revision>
  <cp:lastPrinted>2021-11-09T06:18:00Z</cp:lastPrinted>
  <dcterms:created xsi:type="dcterms:W3CDTF">2021-11-08T07:21:00Z</dcterms:created>
  <dcterms:modified xsi:type="dcterms:W3CDTF">2021-11-09T06:18:00Z</dcterms:modified>
</cp:coreProperties>
</file>